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2F4" w:rsidRPr="00B102F4" w:rsidRDefault="00B102F4" w:rsidP="00B102F4">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da-DK"/>
        </w:rPr>
      </w:pPr>
      <w:r w:rsidRPr="00B102F4">
        <w:rPr>
          <w:rFonts w:ascii="Times New Roman" w:eastAsia="Times New Roman" w:hAnsi="Times New Roman" w:cs="Times New Roman"/>
          <w:b/>
          <w:bCs/>
          <w:kern w:val="36"/>
          <w:sz w:val="48"/>
          <w:szCs w:val="48"/>
          <w:lang w:val="en" w:eastAsia="da-DK"/>
        </w:rPr>
        <w:t xml:space="preserve">The creation </w:t>
      </w:r>
      <w:proofErr w:type="spellStart"/>
      <w:proofErr w:type="gramStart"/>
      <w:r w:rsidRPr="00B102F4">
        <w:rPr>
          <w:rFonts w:ascii="Times New Roman" w:eastAsia="Times New Roman" w:hAnsi="Times New Roman" w:cs="Times New Roman"/>
          <w:b/>
          <w:bCs/>
          <w:kern w:val="36"/>
          <w:sz w:val="48"/>
          <w:szCs w:val="48"/>
          <w:lang w:val="en" w:eastAsia="da-DK"/>
        </w:rPr>
        <w:t>a</w:t>
      </w:r>
      <w:bookmarkStart w:id="0" w:name="_GoBack"/>
      <w:bookmarkEnd w:id="0"/>
      <w:r w:rsidRPr="00B102F4">
        <w:rPr>
          <w:rFonts w:ascii="Times New Roman" w:eastAsia="Times New Roman" w:hAnsi="Times New Roman" w:cs="Times New Roman"/>
          <w:b/>
          <w:bCs/>
          <w:kern w:val="36"/>
          <w:sz w:val="48"/>
          <w:szCs w:val="48"/>
          <w:lang w:val="en" w:eastAsia="da-DK"/>
        </w:rPr>
        <w:t>f</w:t>
      </w:r>
      <w:proofErr w:type="spellEnd"/>
      <w:proofErr w:type="gramEnd"/>
      <w:r w:rsidRPr="00B102F4">
        <w:rPr>
          <w:rFonts w:ascii="Times New Roman" w:eastAsia="Times New Roman" w:hAnsi="Times New Roman" w:cs="Times New Roman"/>
          <w:b/>
          <w:bCs/>
          <w:kern w:val="36"/>
          <w:sz w:val="48"/>
          <w:szCs w:val="48"/>
          <w:lang w:val="en" w:eastAsia="da-DK"/>
        </w:rPr>
        <w:t xml:space="preserve"> </w:t>
      </w:r>
      <w:proofErr w:type="spellStart"/>
      <w:r w:rsidRPr="00B102F4">
        <w:rPr>
          <w:rFonts w:ascii="Times New Roman" w:eastAsia="Times New Roman" w:hAnsi="Times New Roman" w:cs="Times New Roman"/>
          <w:b/>
          <w:bCs/>
          <w:kern w:val="36"/>
          <w:sz w:val="48"/>
          <w:szCs w:val="48"/>
          <w:lang w:val="en" w:eastAsia="da-DK"/>
        </w:rPr>
        <w:t>Ferti</w:t>
      </w:r>
      <w:proofErr w:type="spellEnd"/>
      <w:r w:rsidRPr="00B102F4">
        <w:rPr>
          <w:rFonts w:ascii="Times New Roman" w:eastAsia="Times New Roman" w:hAnsi="Times New Roman" w:cs="Times New Roman"/>
          <w:b/>
          <w:bCs/>
          <w:kern w:val="36"/>
          <w:sz w:val="48"/>
          <w:szCs w:val="48"/>
          <w:lang w:val="en" w:eastAsia="da-DK"/>
        </w:rPr>
        <w:t xml:space="preserve"> Supply</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B102F4">
        <w:rPr>
          <w:rFonts w:ascii="Times New Roman" w:eastAsia="Times New Roman" w:hAnsi="Times New Roman" w:cs="Times New Roman"/>
          <w:sz w:val="24"/>
          <w:szCs w:val="24"/>
          <w:lang w:val="en" w:eastAsia="da-DK"/>
        </w:rPr>
        <w:t>Journal nr.</w:t>
      </w:r>
      <w:proofErr w:type="gramEnd"/>
      <w:r w:rsidRPr="00B102F4">
        <w:rPr>
          <w:rFonts w:ascii="Times New Roman" w:eastAsia="Times New Roman" w:hAnsi="Times New Roman" w:cs="Times New Roman"/>
          <w:sz w:val="24"/>
          <w:szCs w:val="24"/>
          <w:lang w:val="en" w:eastAsia="da-DK"/>
        </w:rPr>
        <w:t xml:space="preserve"> 4/0120-0401-0001/FI/LD </w:t>
      </w:r>
      <w:proofErr w:type="spellStart"/>
      <w:proofErr w:type="gramStart"/>
      <w:r w:rsidRPr="00B102F4">
        <w:rPr>
          <w:rFonts w:ascii="Times New Roman" w:eastAsia="Times New Roman" w:hAnsi="Times New Roman" w:cs="Times New Roman"/>
          <w:sz w:val="24"/>
          <w:szCs w:val="24"/>
          <w:lang w:val="en" w:eastAsia="da-DK"/>
        </w:rPr>
        <w:t>og</w:t>
      </w:r>
      <w:proofErr w:type="spellEnd"/>
      <w:proofErr w:type="gramEnd"/>
      <w:r w:rsidRPr="00B102F4">
        <w:rPr>
          <w:rFonts w:ascii="Times New Roman" w:eastAsia="Times New Roman" w:hAnsi="Times New Roman" w:cs="Times New Roman"/>
          <w:sz w:val="24"/>
          <w:szCs w:val="24"/>
          <w:lang w:val="en" w:eastAsia="da-DK"/>
        </w:rPr>
        <w:t xml:space="preserve"> LKA</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proofErr w:type="spellStart"/>
      <w:r w:rsidRPr="00B102F4">
        <w:rPr>
          <w:rFonts w:ascii="Times New Roman" w:eastAsia="Times New Roman" w:hAnsi="Times New Roman" w:cs="Times New Roman"/>
          <w:b/>
          <w:bCs/>
          <w:sz w:val="27"/>
          <w:szCs w:val="27"/>
          <w:lang w:val="en" w:eastAsia="da-DK"/>
        </w:rPr>
        <w:t>Rådsmødet</w:t>
      </w:r>
      <w:proofErr w:type="spellEnd"/>
      <w:r w:rsidRPr="00B102F4">
        <w:rPr>
          <w:rFonts w:ascii="Times New Roman" w:eastAsia="Times New Roman" w:hAnsi="Times New Roman" w:cs="Times New Roman"/>
          <w:b/>
          <w:bCs/>
          <w:sz w:val="27"/>
          <w:szCs w:val="27"/>
          <w:lang w:val="en" w:eastAsia="da-DK"/>
        </w:rPr>
        <w:t xml:space="preserve"> den 22. </w:t>
      </w:r>
      <w:proofErr w:type="spellStart"/>
      <w:proofErr w:type="gramStart"/>
      <w:r w:rsidRPr="00B102F4">
        <w:rPr>
          <w:rFonts w:ascii="Times New Roman" w:eastAsia="Times New Roman" w:hAnsi="Times New Roman" w:cs="Times New Roman"/>
          <w:b/>
          <w:bCs/>
          <w:sz w:val="27"/>
          <w:szCs w:val="27"/>
          <w:lang w:val="en" w:eastAsia="da-DK"/>
        </w:rPr>
        <w:t>februar</w:t>
      </w:r>
      <w:proofErr w:type="spellEnd"/>
      <w:proofErr w:type="gramEnd"/>
      <w:r w:rsidRPr="00B102F4">
        <w:rPr>
          <w:rFonts w:ascii="Times New Roman" w:eastAsia="Times New Roman" w:hAnsi="Times New Roman" w:cs="Times New Roman"/>
          <w:b/>
          <w:bCs/>
          <w:sz w:val="27"/>
          <w:szCs w:val="27"/>
          <w:lang w:val="en" w:eastAsia="da-DK"/>
        </w:rPr>
        <w:t xml:space="preserve"> 2006</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5" w:anchor="_Toc128203449" w:history="1">
        <w:r w:rsidRPr="00B102F4">
          <w:rPr>
            <w:rFonts w:ascii="Times New Roman" w:eastAsia="Times New Roman" w:hAnsi="Times New Roman" w:cs="Times New Roman"/>
            <w:sz w:val="24"/>
            <w:szCs w:val="24"/>
            <w:u w:val="single"/>
            <w:lang w:val="en" w:eastAsia="da-DK"/>
          </w:rPr>
          <w:t>Summary</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6" w:anchor="_Toc127618168" w:history="1">
        <w:r w:rsidRPr="00B102F4">
          <w:rPr>
            <w:rFonts w:ascii="Times New Roman" w:eastAsia="Times New Roman" w:hAnsi="Times New Roman" w:cs="Times New Roman"/>
            <w:sz w:val="24"/>
            <w:szCs w:val="24"/>
            <w:u w:val="single"/>
            <w:lang w:val="en" w:eastAsia="da-DK"/>
          </w:rPr>
          <w:t>Commitments proposed by the notifying parties</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7" w:anchor="_Toc128203451" w:history="1">
        <w:r w:rsidRPr="00B102F4">
          <w:rPr>
            <w:rFonts w:ascii="Times New Roman" w:eastAsia="Times New Roman" w:hAnsi="Times New Roman" w:cs="Times New Roman"/>
            <w:sz w:val="24"/>
            <w:szCs w:val="24"/>
            <w:u w:val="single"/>
            <w:lang w:val="en" w:eastAsia="da-DK"/>
          </w:rPr>
          <w:t>Decision</w:t>
        </w:r>
      </w:hyperlink>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8" w:anchor="_Toc128203452" w:history="1">
        <w:r w:rsidRPr="00B102F4">
          <w:rPr>
            <w:rFonts w:ascii="Times New Roman" w:eastAsia="Times New Roman" w:hAnsi="Times New Roman" w:cs="Times New Roman"/>
            <w:sz w:val="24"/>
            <w:szCs w:val="24"/>
            <w:u w:val="single"/>
            <w:lang w:val="en" w:eastAsia="da-DK"/>
          </w:rPr>
          <w:t>Background</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9" w:anchor="_Toc128203453" w:history="1">
        <w:r w:rsidRPr="00B102F4">
          <w:rPr>
            <w:rFonts w:ascii="Times New Roman" w:eastAsia="Times New Roman" w:hAnsi="Times New Roman" w:cs="Times New Roman"/>
            <w:sz w:val="24"/>
            <w:szCs w:val="24"/>
            <w:u w:val="single"/>
            <w:lang w:val="en" w:eastAsia="da-DK"/>
          </w:rPr>
          <w:t>The parties</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10" w:anchor="_Toc128203454" w:history="1">
        <w:r w:rsidRPr="00B102F4">
          <w:rPr>
            <w:rFonts w:ascii="Times New Roman" w:eastAsia="Times New Roman" w:hAnsi="Times New Roman" w:cs="Times New Roman"/>
            <w:sz w:val="24"/>
            <w:szCs w:val="24"/>
            <w:u w:val="single"/>
            <w:lang w:val="en" w:eastAsia="da-DK"/>
          </w:rPr>
          <w:t>Jurisdiction</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11" w:anchor="_Toc128203455" w:history="1">
        <w:r w:rsidRPr="00B102F4">
          <w:rPr>
            <w:rFonts w:ascii="Times New Roman" w:eastAsia="Times New Roman" w:hAnsi="Times New Roman" w:cs="Times New Roman"/>
            <w:sz w:val="24"/>
            <w:szCs w:val="24"/>
            <w:u w:val="single"/>
            <w:lang w:val="en" w:eastAsia="da-DK"/>
          </w:rPr>
          <w:t>Turnover</w:t>
        </w:r>
      </w:hyperlink>
      <w:r w:rsidRPr="00B102F4">
        <w:rPr>
          <w:rFonts w:ascii="Times New Roman" w:eastAsia="Times New Roman" w:hAnsi="Times New Roman" w:cs="Times New Roman"/>
          <w:sz w:val="24"/>
          <w:szCs w:val="24"/>
          <w:lang w:val="en" w:eastAsia="da-DK"/>
        </w:rPr>
        <w:br/>
      </w:r>
      <w:hyperlink r:id="rId12" w:anchor="_Toc128203456" w:history="1">
        <w:r w:rsidRPr="00B102F4">
          <w:rPr>
            <w:rFonts w:ascii="Times New Roman" w:eastAsia="Times New Roman" w:hAnsi="Times New Roman" w:cs="Times New Roman"/>
            <w:sz w:val="24"/>
            <w:szCs w:val="24"/>
            <w:u w:val="single"/>
            <w:lang w:val="en" w:eastAsia="da-DK"/>
          </w:rPr>
          <w:t>Referral from the Commission</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13" w:anchor="_Toc128203457" w:history="1">
        <w:r w:rsidRPr="00B102F4">
          <w:rPr>
            <w:rFonts w:ascii="Times New Roman" w:eastAsia="Times New Roman" w:hAnsi="Times New Roman" w:cs="Times New Roman"/>
            <w:sz w:val="24"/>
            <w:szCs w:val="24"/>
            <w:u w:val="single"/>
            <w:lang w:val="en" w:eastAsia="da-DK"/>
          </w:rPr>
          <w:t>The concentration</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14" w:anchor="_Toc128203458" w:history="1">
        <w:r w:rsidRPr="00B102F4">
          <w:rPr>
            <w:rFonts w:ascii="Times New Roman" w:eastAsia="Times New Roman" w:hAnsi="Times New Roman" w:cs="Times New Roman"/>
            <w:sz w:val="24"/>
            <w:szCs w:val="24"/>
            <w:u w:val="single"/>
            <w:lang w:val="en" w:eastAsia="da-DK"/>
          </w:rPr>
          <w:t>Joint control</w:t>
        </w:r>
      </w:hyperlink>
      <w:r w:rsidRPr="00B102F4">
        <w:rPr>
          <w:rFonts w:ascii="Times New Roman" w:eastAsia="Times New Roman" w:hAnsi="Times New Roman" w:cs="Times New Roman"/>
          <w:sz w:val="24"/>
          <w:szCs w:val="24"/>
          <w:lang w:val="en" w:eastAsia="da-DK"/>
        </w:rPr>
        <w:br/>
      </w:r>
      <w:hyperlink r:id="rId15" w:anchor="_Toc128203459" w:history="1">
        <w:r w:rsidRPr="00B102F4">
          <w:rPr>
            <w:rFonts w:ascii="Times New Roman" w:eastAsia="Times New Roman" w:hAnsi="Times New Roman" w:cs="Times New Roman"/>
            <w:sz w:val="24"/>
            <w:szCs w:val="24"/>
            <w:u w:val="single"/>
            <w:lang w:val="en" w:eastAsia="da-DK"/>
          </w:rPr>
          <w:t>Full function joint venture</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16" w:anchor="_Toc128203460" w:history="1">
        <w:r w:rsidRPr="00B102F4">
          <w:rPr>
            <w:rFonts w:ascii="Times New Roman" w:eastAsia="Times New Roman" w:hAnsi="Times New Roman" w:cs="Times New Roman"/>
            <w:sz w:val="24"/>
            <w:szCs w:val="24"/>
            <w:u w:val="single"/>
            <w:lang w:val="en" w:eastAsia="da-DK"/>
          </w:rPr>
          <w:t xml:space="preserve">The rationale behind the creation of </w:t>
        </w:r>
        <w:proofErr w:type="spellStart"/>
        <w:r w:rsidRPr="00B102F4">
          <w:rPr>
            <w:rFonts w:ascii="Times New Roman" w:eastAsia="Times New Roman" w:hAnsi="Times New Roman" w:cs="Times New Roman"/>
            <w:sz w:val="24"/>
            <w:szCs w:val="24"/>
            <w:u w:val="single"/>
            <w:lang w:val="en" w:eastAsia="da-DK"/>
          </w:rPr>
          <w:t>Ferti</w:t>
        </w:r>
        <w:proofErr w:type="spellEnd"/>
        <w:r w:rsidRPr="00B102F4">
          <w:rPr>
            <w:rFonts w:ascii="Times New Roman" w:eastAsia="Times New Roman" w:hAnsi="Times New Roman" w:cs="Times New Roman"/>
            <w:sz w:val="24"/>
            <w:szCs w:val="24"/>
            <w:u w:val="single"/>
            <w:lang w:val="en" w:eastAsia="da-DK"/>
          </w:rPr>
          <w:t xml:space="preserve"> Supply</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17" w:anchor="_Toc128203461" w:history="1">
        <w:r w:rsidRPr="00B102F4">
          <w:rPr>
            <w:rFonts w:ascii="Times New Roman" w:eastAsia="Times New Roman" w:hAnsi="Times New Roman" w:cs="Times New Roman"/>
            <w:sz w:val="24"/>
            <w:szCs w:val="24"/>
            <w:u w:val="single"/>
            <w:lang w:val="en" w:eastAsia="da-DK"/>
          </w:rPr>
          <w:t xml:space="preserve">Agreements in connection with the creation of </w:t>
        </w:r>
        <w:proofErr w:type="spellStart"/>
        <w:r w:rsidRPr="00B102F4">
          <w:rPr>
            <w:rFonts w:ascii="Times New Roman" w:eastAsia="Times New Roman" w:hAnsi="Times New Roman" w:cs="Times New Roman"/>
            <w:sz w:val="24"/>
            <w:szCs w:val="24"/>
            <w:u w:val="single"/>
            <w:lang w:val="en" w:eastAsia="da-DK"/>
          </w:rPr>
          <w:t>Ferti</w:t>
        </w:r>
        <w:proofErr w:type="spellEnd"/>
        <w:r w:rsidRPr="00B102F4">
          <w:rPr>
            <w:rFonts w:ascii="Times New Roman" w:eastAsia="Times New Roman" w:hAnsi="Times New Roman" w:cs="Times New Roman"/>
            <w:sz w:val="24"/>
            <w:szCs w:val="24"/>
            <w:u w:val="single"/>
            <w:lang w:val="en" w:eastAsia="da-DK"/>
          </w:rPr>
          <w:t xml:space="preserve"> Supply</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18" w:anchor="_Toc128203462" w:history="1">
        <w:r w:rsidRPr="00B102F4">
          <w:rPr>
            <w:rFonts w:ascii="Times New Roman" w:eastAsia="Times New Roman" w:hAnsi="Times New Roman" w:cs="Times New Roman"/>
            <w:sz w:val="24"/>
            <w:szCs w:val="24"/>
            <w:u w:val="single"/>
            <w:lang w:val="en" w:eastAsia="da-DK"/>
          </w:rPr>
          <w:t>Relevant product markets</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19" w:anchor="_Toc128203463" w:history="1">
        <w:r w:rsidRPr="00B102F4">
          <w:rPr>
            <w:rFonts w:ascii="Times New Roman" w:eastAsia="Times New Roman" w:hAnsi="Times New Roman" w:cs="Times New Roman"/>
            <w:sz w:val="24"/>
            <w:szCs w:val="24"/>
            <w:u w:val="single"/>
            <w:lang w:val="en" w:eastAsia="da-DK"/>
          </w:rPr>
          <w:t>Fertilizers</w:t>
        </w:r>
      </w:hyperlink>
      <w:r w:rsidRPr="00B102F4">
        <w:rPr>
          <w:rFonts w:ascii="Times New Roman" w:eastAsia="Times New Roman" w:hAnsi="Times New Roman" w:cs="Times New Roman"/>
          <w:sz w:val="24"/>
          <w:szCs w:val="24"/>
          <w:lang w:val="en" w:eastAsia="da-DK"/>
        </w:rPr>
        <w:br/>
      </w:r>
      <w:hyperlink r:id="rId20" w:anchor="_Toc128203464" w:history="1">
        <w:r w:rsidRPr="00B102F4">
          <w:rPr>
            <w:rFonts w:ascii="Times New Roman" w:eastAsia="Times New Roman" w:hAnsi="Times New Roman" w:cs="Times New Roman"/>
            <w:sz w:val="24"/>
            <w:szCs w:val="24"/>
            <w:u w:val="single"/>
            <w:lang w:val="en" w:eastAsia="da-DK"/>
          </w:rPr>
          <w:t>Demand-side substitutability</w:t>
        </w:r>
      </w:hyperlink>
      <w:r w:rsidRPr="00B102F4">
        <w:rPr>
          <w:rFonts w:ascii="Times New Roman" w:eastAsia="Times New Roman" w:hAnsi="Times New Roman" w:cs="Times New Roman"/>
          <w:sz w:val="24"/>
          <w:szCs w:val="24"/>
          <w:lang w:val="en" w:eastAsia="da-DK"/>
        </w:rPr>
        <w:br/>
      </w:r>
      <w:hyperlink r:id="rId21" w:anchor="_Toc128203465" w:history="1">
        <w:r w:rsidRPr="00B102F4">
          <w:rPr>
            <w:rFonts w:ascii="Times New Roman" w:eastAsia="Times New Roman" w:hAnsi="Times New Roman" w:cs="Times New Roman"/>
            <w:sz w:val="24"/>
            <w:szCs w:val="24"/>
            <w:u w:val="single"/>
            <w:lang w:val="en" w:eastAsia="da-DK"/>
          </w:rPr>
          <w:t>Supply-side substitutability</w:t>
        </w:r>
      </w:hyperlink>
      <w:r w:rsidRPr="00B102F4">
        <w:rPr>
          <w:rFonts w:ascii="Times New Roman" w:eastAsia="Times New Roman" w:hAnsi="Times New Roman" w:cs="Times New Roman"/>
          <w:sz w:val="24"/>
          <w:szCs w:val="24"/>
          <w:lang w:val="en" w:eastAsia="da-DK"/>
        </w:rPr>
        <w:br/>
      </w:r>
      <w:hyperlink r:id="rId22" w:anchor="_Toc128203466" w:history="1">
        <w:r w:rsidRPr="00B102F4">
          <w:rPr>
            <w:rFonts w:ascii="Times New Roman" w:eastAsia="Times New Roman" w:hAnsi="Times New Roman" w:cs="Times New Roman"/>
            <w:sz w:val="24"/>
            <w:szCs w:val="24"/>
            <w:u w:val="single"/>
            <w:lang w:val="en" w:eastAsia="da-DK"/>
          </w:rPr>
          <w:t>Preliminary conclusion on the relevant products</w:t>
        </w:r>
      </w:hyperlink>
      <w:r w:rsidRPr="00B102F4">
        <w:rPr>
          <w:rFonts w:ascii="Times New Roman" w:eastAsia="Times New Roman" w:hAnsi="Times New Roman" w:cs="Times New Roman"/>
          <w:sz w:val="24"/>
          <w:szCs w:val="24"/>
          <w:lang w:val="en" w:eastAsia="da-DK"/>
        </w:rPr>
        <w:br/>
      </w:r>
      <w:hyperlink r:id="rId23" w:anchor="_Toc128203467" w:history="1">
        <w:r w:rsidRPr="00B102F4">
          <w:rPr>
            <w:rFonts w:ascii="Times New Roman" w:eastAsia="Times New Roman" w:hAnsi="Times New Roman" w:cs="Times New Roman"/>
            <w:sz w:val="24"/>
            <w:szCs w:val="24"/>
            <w:u w:val="single"/>
            <w:lang w:val="en" w:eastAsia="da-DK"/>
          </w:rPr>
          <w:t>Consumption in Denmark</w:t>
        </w:r>
      </w:hyperlink>
      <w:r w:rsidRPr="00B102F4">
        <w:rPr>
          <w:rFonts w:ascii="Times New Roman" w:eastAsia="Times New Roman" w:hAnsi="Times New Roman" w:cs="Times New Roman"/>
          <w:sz w:val="24"/>
          <w:szCs w:val="24"/>
          <w:lang w:val="en" w:eastAsia="da-DK"/>
        </w:rPr>
        <w:br/>
      </w:r>
      <w:hyperlink r:id="rId24" w:anchor="_Toc128203468" w:history="1">
        <w:r w:rsidRPr="00B102F4">
          <w:rPr>
            <w:rFonts w:ascii="Times New Roman" w:eastAsia="Times New Roman" w:hAnsi="Times New Roman" w:cs="Times New Roman"/>
            <w:sz w:val="24"/>
            <w:szCs w:val="24"/>
            <w:u w:val="single"/>
            <w:lang w:val="en" w:eastAsia="da-DK"/>
          </w:rPr>
          <w:t>Legislation</w:t>
        </w:r>
      </w:hyperlink>
      <w:r w:rsidRPr="00B102F4">
        <w:rPr>
          <w:rFonts w:ascii="Times New Roman" w:eastAsia="Times New Roman" w:hAnsi="Times New Roman" w:cs="Times New Roman"/>
          <w:sz w:val="24"/>
          <w:szCs w:val="24"/>
          <w:lang w:val="en" w:eastAsia="da-DK"/>
        </w:rPr>
        <w:br/>
      </w:r>
      <w:hyperlink r:id="rId25" w:anchor="_Toc128203469" w:history="1">
        <w:r w:rsidRPr="00B102F4">
          <w:rPr>
            <w:rFonts w:ascii="Times New Roman" w:eastAsia="Times New Roman" w:hAnsi="Times New Roman" w:cs="Times New Roman"/>
            <w:sz w:val="24"/>
            <w:szCs w:val="24"/>
            <w:u w:val="single"/>
            <w:lang w:val="en" w:eastAsia="da-DK"/>
          </w:rPr>
          <w:t>The value chain</w:t>
        </w:r>
      </w:hyperlink>
      <w:r w:rsidRPr="00B102F4">
        <w:rPr>
          <w:rFonts w:ascii="Times New Roman" w:eastAsia="Times New Roman" w:hAnsi="Times New Roman" w:cs="Times New Roman"/>
          <w:sz w:val="24"/>
          <w:szCs w:val="24"/>
          <w:lang w:val="en" w:eastAsia="da-DK"/>
        </w:rPr>
        <w:br/>
      </w:r>
      <w:hyperlink r:id="rId26" w:anchor="prod" w:history="1">
        <w:r w:rsidRPr="00B102F4">
          <w:rPr>
            <w:rFonts w:ascii="Times New Roman" w:eastAsia="Times New Roman" w:hAnsi="Times New Roman" w:cs="Times New Roman"/>
            <w:sz w:val="24"/>
            <w:szCs w:val="24"/>
            <w:u w:val="single"/>
            <w:lang w:val="en" w:eastAsia="da-DK"/>
          </w:rPr>
          <w:t>Production</w:t>
        </w:r>
      </w:hyperlink>
      <w:r w:rsidRPr="00B102F4">
        <w:rPr>
          <w:rFonts w:ascii="Times New Roman" w:eastAsia="Times New Roman" w:hAnsi="Times New Roman" w:cs="Times New Roman"/>
          <w:sz w:val="24"/>
          <w:szCs w:val="24"/>
          <w:lang w:val="en" w:eastAsia="da-DK"/>
        </w:rPr>
        <w:br/>
      </w:r>
      <w:hyperlink r:id="rId27" w:anchor="_Toc128203471" w:history="1">
        <w:r w:rsidRPr="00B102F4">
          <w:rPr>
            <w:rFonts w:ascii="Times New Roman" w:eastAsia="Times New Roman" w:hAnsi="Times New Roman" w:cs="Times New Roman"/>
            <w:sz w:val="24"/>
            <w:szCs w:val="24"/>
            <w:u w:val="single"/>
            <w:lang w:val="en" w:eastAsia="da-DK"/>
          </w:rPr>
          <w:t>Wholesale</w:t>
        </w:r>
      </w:hyperlink>
      <w:r w:rsidRPr="00B102F4">
        <w:rPr>
          <w:rFonts w:ascii="Times New Roman" w:eastAsia="Times New Roman" w:hAnsi="Times New Roman" w:cs="Times New Roman"/>
          <w:sz w:val="24"/>
          <w:szCs w:val="24"/>
          <w:lang w:val="en" w:eastAsia="da-DK"/>
        </w:rPr>
        <w:br/>
      </w:r>
      <w:hyperlink r:id="rId28" w:anchor="_Toc128203472" w:history="1">
        <w:r w:rsidRPr="00B102F4">
          <w:rPr>
            <w:rFonts w:ascii="Times New Roman" w:eastAsia="Times New Roman" w:hAnsi="Times New Roman" w:cs="Times New Roman"/>
            <w:sz w:val="24"/>
            <w:szCs w:val="24"/>
            <w:u w:val="single"/>
            <w:lang w:val="en" w:eastAsia="da-DK"/>
          </w:rPr>
          <w:t>Retail</w:t>
        </w:r>
      </w:hyperlink>
      <w:r w:rsidRPr="00B102F4">
        <w:rPr>
          <w:rFonts w:ascii="Times New Roman" w:eastAsia="Times New Roman" w:hAnsi="Times New Roman" w:cs="Times New Roman"/>
          <w:sz w:val="24"/>
          <w:szCs w:val="24"/>
          <w:lang w:val="en" w:eastAsia="da-DK"/>
        </w:rPr>
        <w:br/>
      </w:r>
      <w:hyperlink r:id="rId29" w:anchor="_Toc128203473" w:history="1">
        <w:r w:rsidRPr="00B102F4">
          <w:rPr>
            <w:rFonts w:ascii="Times New Roman" w:eastAsia="Times New Roman" w:hAnsi="Times New Roman" w:cs="Times New Roman"/>
            <w:sz w:val="24"/>
            <w:szCs w:val="24"/>
            <w:u w:val="single"/>
            <w:lang w:val="en" w:eastAsia="da-DK"/>
          </w:rPr>
          <w:t>End-users</w:t>
        </w:r>
      </w:hyperlink>
      <w:r w:rsidRPr="00B102F4">
        <w:rPr>
          <w:rFonts w:ascii="Times New Roman" w:eastAsia="Times New Roman" w:hAnsi="Times New Roman" w:cs="Times New Roman"/>
          <w:sz w:val="24"/>
          <w:szCs w:val="24"/>
          <w:lang w:val="en" w:eastAsia="da-DK"/>
        </w:rPr>
        <w:br/>
      </w:r>
      <w:hyperlink r:id="rId30" w:anchor="_Toc128203474" w:history="1">
        <w:r w:rsidRPr="00B102F4">
          <w:rPr>
            <w:rFonts w:ascii="Times New Roman" w:eastAsia="Times New Roman" w:hAnsi="Times New Roman" w:cs="Times New Roman"/>
            <w:sz w:val="24"/>
            <w:szCs w:val="24"/>
            <w:u w:val="single"/>
            <w:lang w:val="en" w:eastAsia="da-DK"/>
          </w:rPr>
          <w:t>Conclusion on the relevant product market(s)</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31" w:anchor="_Toc128203475" w:history="1">
        <w:r w:rsidRPr="00B102F4">
          <w:rPr>
            <w:rFonts w:ascii="Times New Roman" w:eastAsia="Times New Roman" w:hAnsi="Times New Roman" w:cs="Times New Roman"/>
            <w:sz w:val="24"/>
            <w:szCs w:val="24"/>
            <w:u w:val="single"/>
            <w:lang w:val="en" w:eastAsia="da-DK"/>
          </w:rPr>
          <w:t>Relevant geographic market(s)</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32" w:anchor="_Toc128203476" w:history="1">
        <w:r w:rsidRPr="00B102F4">
          <w:rPr>
            <w:rFonts w:ascii="Times New Roman" w:eastAsia="Times New Roman" w:hAnsi="Times New Roman" w:cs="Times New Roman"/>
            <w:sz w:val="24"/>
            <w:szCs w:val="24"/>
            <w:u w:val="single"/>
            <w:lang w:val="en" w:eastAsia="da-DK"/>
          </w:rPr>
          <w:t>Conclusion on the relevant geographic market(s)</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33" w:anchor="_Toc128203477" w:history="1">
        <w:r w:rsidRPr="00B102F4">
          <w:rPr>
            <w:rFonts w:ascii="Times New Roman" w:eastAsia="Times New Roman" w:hAnsi="Times New Roman" w:cs="Times New Roman"/>
            <w:sz w:val="24"/>
            <w:szCs w:val="24"/>
            <w:u w:val="single"/>
            <w:lang w:val="en" w:eastAsia="da-DK"/>
          </w:rPr>
          <w:t xml:space="preserve">The parties’ position in the relevant market(s) </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34" w:anchor="_Toc128203478" w:history="1">
        <w:r w:rsidRPr="00B102F4">
          <w:rPr>
            <w:rFonts w:ascii="Times New Roman" w:eastAsia="Times New Roman" w:hAnsi="Times New Roman" w:cs="Times New Roman"/>
            <w:sz w:val="24"/>
            <w:szCs w:val="24"/>
            <w:u w:val="single"/>
            <w:lang w:val="en" w:eastAsia="da-DK"/>
          </w:rPr>
          <w:t xml:space="preserve">Preliminary assessment </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35" w:anchor="_Toc128203479" w:history="1">
        <w:r w:rsidRPr="00B102F4">
          <w:rPr>
            <w:rFonts w:ascii="Times New Roman" w:eastAsia="Times New Roman" w:hAnsi="Times New Roman" w:cs="Times New Roman"/>
            <w:sz w:val="24"/>
            <w:szCs w:val="24"/>
            <w:u w:val="single"/>
            <w:lang w:val="en" w:eastAsia="da-DK"/>
          </w:rPr>
          <w:t>Dominance</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36" w:anchor="_Toc128203480" w:history="1">
        <w:r w:rsidRPr="00B102F4">
          <w:rPr>
            <w:rFonts w:ascii="Times New Roman" w:eastAsia="Times New Roman" w:hAnsi="Times New Roman" w:cs="Times New Roman"/>
            <w:sz w:val="24"/>
            <w:szCs w:val="24"/>
            <w:u w:val="single"/>
            <w:lang w:val="en" w:eastAsia="da-DK"/>
          </w:rPr>
          <w:t>Concerns</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37" w:anchor="_Toc128203481" w:history="1">
        <w:r w:rsidRPr="00B102F4">
          <w:rPr>
            <w:rFonts w:ascii="Times New Roman" w:eastAsia="Times New Roman" w:hAnsi="Times New Roman" w:cs="Times New Roman"/>
            <w:sz w:val="24"/>
            <w:szCs w:val="24"/>
            <w:u w:val="single"/>
            <w:lang w:val="en" w:eastAsia="da-DK"/>
          </w:rPr>
          <w:t>Access to the Danish market</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38" w:anchor="_Toc128203482" w:history="1">
        <w:r w:rsidRPr="00B102F4">
          <w:rPr>
            <w:rFonts w:ascii="Times New Roman" w:eastAsia="Times New Roman" w:hAnsi="Times New Roman" w:cs="Times New Roman"/>
            <w:sz w:val="24"/>
            <w:szCs w:val="24"/>
            <w:u w:val="single"/>
            <w:lang w:val="en" w:eastAsia="da-DK"/>
          </w:rPr>
          <w:t>Price mechanisms</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39" w:anchor="_Toc128203483" w:history="1">
        <w:r w:rsidRPr="00B102F4">
          <w:rPr>
            <w:rFonts w:ascii="Times New Roman" w:eastAsia="Times New Roman" w:hAnsi="Times New Roman" w:cs="Times New Roman"/>
            <w:sz w:val="24"/>
            <w:szCs w:val="24"/>
            <w:u w:val="single"/>
            <w:lang w:val="en" w:eastAsia="da-DK"/>
          </w:rPr>
          <w:t>Ancillary restraints</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40" w:anchor="_Toc128203484" w:history="1">
        <w:r w:rsidRPr="00B102F4">
          <w:rPr>
            <w:rFonts w:ascii="Times New Roman" w:eastAsia="Times New Roman" w:hAnsi="Times New Roman" w:cs="Times New Roman"/>
            <w:sz w:val="24"/>
            <w:szCs w:val="24"/>
            <w:u w:val="single"/>
            <w:lang w:val="en" w:eastAsia="da-DK"/>
          </w:rPr>
          <w:t>Preliminary conclusion</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41" w:anchor="_Toc128203485" w:history="1">
        <w:r w:rsidRPr="00B102F4">
          <w:rPr>
            <w:rFonts w:ascii="Times New Roman" w:eastAsia="Times New Roman" w:hAnsi="Times New Roman" w:cs="Times New Roman"/>
            <w:sz w:val="24"/>
            <w:szCs w:val="24"/>
            <w:u w:val="single"/>
            <w:lang w:val="en" w:eastAsia="da-DK"/>
          </w:rPr>
          <w:t>Proposed commitments</w:t>
        </w:r>
      </w:hyperlink>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42" w:anchor="_Toc128203486" w:history="1">
        <w:r w:rsidRPr="00B102F4">
          <w:rPr>
            <w:rFonts w:ascii="Times New Roman" w:eastAsia="Times New Roman" w:hAnsi="Times New Roman" w:cs="Times New Roman"/>
            <w:sz w:val="24"/>
            <w:szCs w:val="24"/>
            <w:u w:val="single"/>
            <w:lang w:val="en" w:eastAsia="da-DK"/>
          </w:rPr>
          <w:t>Final conclusion based on the submitted commitments</w:t>
        </w:r>
      </w:hyperlink>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hyperlink r:id="rId43" w:anchor="_Toc128203487" w:history="1">
        <w:r w:rsidRPr="00B102F4">
          <w:rPr>
            <w:rFonts w:ascii="Times New Roman" w:eastAsia="Times New Roman" w:hAnsi="Times New Roman" w:cs="Times New Roman"/>
            <w:sz w:val="24"/>
            <w:szCs w:val="24"/>
            <w:u w:val="single"/>
            <w:lang w:val="en" w:eastAsia="da-DK"/>
          </w:rPr>
          <w:t>Coordinated effects</w:t>
        </w:r>
      </w:hyperlink>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1" w:name="_Toc128203449"/>
      <w:bookmarkEnd w:id="1"/>
      <w:r w:rsidRPr="00B102F4">
        <w:rPr>
          <w:rFonts w:ascii="Times New Roman" w:eastAsia="Times New Roman" w:hAnsi="Times New Roman" w:cs="Times New Roman"/>
          <w:b/>
          <w:bCs/>
          <w:sz w:val="36"/>
          <w:szCs w:val="36"/>
          <w:lang w:val="en" w:eastAsia="da-DK"/>
        </w:rPr>
        <w:br/>
      </w:r>
    </w:p>
    <w:p w:rsidR="00B102F4" w:rsidRPr="00B102F4" w:rsidRDefault="00B102F4">
      <w:pPr>
        <w:rPr>
          <w:rFonts w:ascii="Times New Roman" w:eastAsia="Times New Roman" w:hAnsi="Times New Roman" w:cs="Times New Roman"/>
          <w:b/>
          <w:bCs/>
          <w:sz w:val="36"/>
          <w:szCs w:val="36"/>
          <w:lang w:val="en" w:eastAsia="da-DK"/>
        </w:rPr>
      </w:pPr>
      <w:r w:rsidRPr="00B102F4">
        <w:rPr>
          <w:rFonts w:ascii="Times New Roman" w:eastAsia="Times New Roman" w:hAnsi="Times New Roman" w:cs="Times New Roman"/>
          <w:b/>
          <w:bCs/>
          <w:sz w:val="36"/>
          <w:szCs w:val="36"/>
          <w:lang w:val="en" w:eastAsia="da-DK"/>
        </w:rPr>
        <w:br w:type="page"/>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B102F4">
        <w:rPr>
          <w:rFonts w:ascii="Times New Roman" w:eastAsia="Times New Roman" w:hAnsi="Times New Roman" w:cs="Times New Roman"/>
          <w:b/>
          <w:bCs/>
          <w:sz w:val="36"/>
          <w:szCs w:val="36"/>
          <w:lang w:val="en" w:eastAsia="da-DK"/>
        </w:rPr>
        <w:lastRenderedPageBreak/>
        <w:t>Summary</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 Dansk </w:t>
      </w:r>
      <w:proofErr w:type="spellStart"/>
      <w:r w:rsidRPr="00B102F4">
        <w:rPr>
          <w:rFonts w:ascii="Times New Roman" w:eastAsia="Times New Roman" w:hAnsi="Times New Roman" w:cs="Times New Roman"/>
          <w:sz w:val="24"/>
          <w:szCs w:val="24"/>
          <w:lang w:val="en" w:eastAsia="da-DK"/>
        </w:rPr>
        <w:t>Landbrugs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Grovvareselskab</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A.m.b.A</w:t>
      </w:r>
      <w:proofErr w:type="spellEnd"/>
      <w:r w:rsidRPr="00B102F4">
        <w:rPr>
          <w:rFonts w:ascii="Times New Roman" w:eastAsia="Times New Roman" w:hAnsi="Times New Roman" w:cs="Times New Roman"/>
          <w:sz w:val="24"/>
          <w:szCs w:val="24"/>
          <w:lang w:val="en" w:eastAsia="da-DK"/>
        </w:rPr>
        <w:t xml:space="preserve">. (DLG), </w:t>
      </w:r>
      <w:proofErr w:type="spellStart"/>
      <w:r w:rsidRPr="00B102F4">
        <w:rPr>
          <w:rFonts w:ascii="Times New Roman" w:eastAsia="Times New Roman" w:hAnsi="Times New Roman" w:cs="Times New Roman"/>
          <w:sz w:val="24"/>
          <w:szCs w:val="24"/>
          <w:lang w:val="en" w:eastAsia="da-DK"/>
        </w:rPr>
        <w:t>AgroDanmark</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A.m.b.A</w:t>
      </w:r>
      <w:proofErr w:type="spellEnd"/>
      <w:r w:rsidRPr="00B102F4">
        <w:rPr>
          <w:rFonts w:ascii="Times New Roman" w:eastAsia="Times New Roman" w:hAnsi="Times New Roman" w:cs="Times New Roman"/>
          <w:sz w:val="24"/>
          <w:szCs w:val="24"/>
          <w:lang w:val="en" w:eastAsia="da-DK"/>
        </w:rPr>
        <w:t>.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and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Danmark</w:t>
      </w:r>
      <w:proofErr w:type="spellEnd"/>
      <w:r w:rsidRPr="00B102F4">
        <w:rPr>
          <w:rFonts w:ascii="Times New Roman" w:eastAsia="Times New Roman" w:hAnsi="Times New Roman" w:cs="Times New Roman"/>
          <w:sz w:val="24"/>
          <w:szCs w:val="24"/>
          <w:lang w:val="en" w:eastAsia="da-DK"/>
        </w:rPr>
        <w:t xml:space="preserve"> A/S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 Norwegian fertilizer producer, have notified the creation of a joint venture named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which will take over the notifying parties’ fertilizer wholesale activities, i.e. purchase, sale and distribution of fertilizers in Denmark. The joint venture is a merger in the sense of the Danish Competition Act. The case was referred from the European Commission to Denmark under the EC Merger </w:t>
      </w:r>
      <w:proofErr w:type="gramStart"/>
      <w:r w:rsidRPr="00B102F4">
        <w:rPr>
          <w:rFonts w:ascii="Times New Roman" w:eastAsia="Times New Roman" w:hAnsi="Times New Roman" w:cs="Times New Roman"/>
          <w:sz w:val="24"/>
          <w:szCs w:val="24"/>
          <w:lang w:val="en" w:eastAsia="da-DK"/>
        </w:rPr>
        <w:t>Regulation,</w:t>
      </w:r>
      <w:proofErr w:type="gramEnd"/>
      <w:r w:rsidRPr="00B102F4">
        <w:rPr>
          <w:rFonts w:ascii="Times New Roman" w:eastAsia="Times New Roman" w:hAnsi="Times New Roman" w:cs="Times New Roman"/>
          <w:sz w:val="24"/>
          <w:szCs w:val="24"/>
          <w:lang w:val="en" w:eastAsia="da-DK"/>
        </w:rPr>
        <w:t xml:space="preserve"> cf. Article 4(4).</w:t>
      </w:r>
      <w:bookmarkStart w:id="2" w:name="_ftnref1"/>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"_ftn1"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w:t>
      </w:r>
      <w:r w:rsidRPr="00B102F4">
        <w:rPr>
          <w:rFonts w:ascii="Times New Roman" w:eastAsia="Times New Roman" w:hAnsi="Times New Roman" w:cs="Times New Roman"/>
          <w:sz w:val="24"/>
          <w:szCs w:val="24"/>
          <w:lang w:val="en" w:eastAsia="da-DK"/>
        </w:rPr>
        <w:fldChar w:fldCharType="end"/>
      </w:r>
      <w:bookmarkEnd w:id="2"/>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2. Fertilizers are essential for plant growing farmers. Each year more than 950,000 tons are consumed by Danish farmers. Use of fertilizers is subject to strict rules and regulations, determining the maximum amount farmers may spread etc. This has led to a decrease in consumption by approximately 40 % since 1988/89.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3. No significant production, apart from some production of liquid fertilizers, has taken place in Denmark since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closed its production site in 2004. The international manufacturers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and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(formerly </w:t>
      </w:r>
      <w:proofErr w:type="spellStart"/>
      <w:r w:rsidRPr="00B102F4">
        <w:rPr>
          <w:rFonts w:ascii="Times New Roman" w:eastAsia="Times New Roman" w:hAnsi="Times New Roman" w:cs="Times New Roman"/>
          <w:sz w:val="24"/>
          <w:szCs w:val="24"/>
          <w:lang w:val="en" w:eastAsia="da-DK"/>
        </w:rPr>
        <w:t>Norsk</w:t>
      </w:r>
      <w:proofErr w:type="spellEnd"/>
      <w:r w:rsidRPr="00B102F4">
        <w:rPr>
          <w:rFonts w:ascii="Times New Roman" w:eastAsia="Times New Roman" w:hAnsi="Times New Roman" w:cs="Times New Roman"/>
          <w:sz w:val="24"/>
          <w:szCs w:val="24"/>
          <w:lang w:val="en" w:eastAsia="da-DK"/>
        </w:rPr>
        <w:t xml:space="preserve"> Hydro) have kept warehouses and </w:t>
      </w:r>
      <w:proofErr w:type="spellStart"/>
      <w:r w:rsidRPr="00B102F4">
        <w:rPr>
          <w:rFonts w:ascii="Times New Roman" w:eastAsia="Times New Roman" w:hAnsi="Times New Roman" w:cs="Times New Roman"/>
          <w:sz w:val="24"/>
          <w:szCs w:val="24"/>
          <w:lang w:val="en" w:eastAsia="da-DK"/>
        </w:rPr>
        <w:t>harbour</w:t>
      </w:r>
      <w:proofErr w:type="spellEnd"/>
      <w:r w:rsidRPr="00B102F4">
        <w:rPr>
          <w:rFonts w:ascii="Times New Roman" w:eastAsia="Times New Roman" w:hAnsi="Times New Roman" w:cs="Times New Roman"/>
          <w:sz w:val="24"/>
          <w:szCs w:val="24"/>
          <w:lang w:val="en" w:eastAsia="da-DK"/>
        </w:rPr>
        <w:t xml:space="preserve"> terminals in Denmark. The distribution (wholesale and retail), however, has been handled by regional and national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companies, which include fertilizers in their range of products offered to farmers.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4. Access to the distribution system is crucial for suppliers. Fertilizers are consumed within 3 months during spring, and the products are voluminous and heavy to transport. Demand is quite inelastic, i.e. farmers demand the same amount regardless of minor price changes. However, purchasers in all segments of the fertilizer market are quite price-conscious. Fertilizers to the Danish market are imported on ships which can carry 3-5.000 tons and unload their cargo even in minor Danish </w:t>
      </w:r>
      <w:proofErr w:type="spellStart"/>
      <w:r w:rsidRPr="00B102F4">
        <w:rPr>
          <w:rFonts w:ascii="Times New Roman" w:eastAsia="Times New Roman" w:hAnsi="Times New Roman" w:cs="Times New Roman"/>
          <w:sz w:val="24"/>
          <w:szCs w:val="24"/>
          <w:lang w:val="en" w:eastAsia="da-DK"/>
        </w:rPr>
        <w:t>harbours</w:t>
      </w:r>
      <w:proofErr w:type="spellEnd"/>
      <w:r w:rsidRPr="00B102F4">
        <w:rPr>
          <w:rFonts w:ascii="Times New Roman" w:eastAsia="Times New Roman" w:hAnsi="Times New Roman" w:cs="Times New Roman"/>
          <w:sz w:val="24"/>
          <w:szCs w:val="24"/>
          <w:lang w:val="en" w:eastAsia="da-DK"/>
        </w:rPr>
        <w:t xml:space="preserve">. In order to reach the farmers it is, however, important to have access to the retail outlets close to the farmers, which are controlled by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retailers. DLG, for example, has 140 retail outlets where farmers can pick up their supply during the season.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5. Over the years, the fertilizer market has become increasingly concentrated, both in respect of producers,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companies and farmers. Today,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the Finnish company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are among the largest international suppliers [] in Denmark. Other large producers operating in Denmark are </w:t>
      </w:r>
      <w:proofErr w:type="spellStart"/>
      <w:r w:rsidRPr="00B102F4">
        <w:rPr>
          <w:rFonts w:ascii="Times New Roman" w:eastAsia="Times New Roman" w:hAnsi="Times New Roman" w:cs="Times New Roman"/>
          <w:sz w:val="24"/>
          <w:szCs w:val="24"/>
          <w:lang w:val="en" w:eastAsia="da-DK"/>
        </w:rPr>
        <w:t>Fertiva</w:t>
      </w:r>
      <w:proofErr w:type="spellEnd"/>
      <w:r w:rsidRPr="00B102F4">
        <w:rPr>
          <w:rFonts w:ascii="Times New Roman" w:eastAsia="Times New Roman" w:hAnsi="Times New Roman" w:cs="Times New Roman"/>
          <w:sz w:val="24"/>
          <w:szCs w:val="24"/>
          <w:lang w:val="en" w:eastAsia="da-DK"/>
        </w:rPr>
        <w:t xml:space="preserve"> [X], </w:t>
      </w:r>
      <w:proofErr w:type="spellStart"/>
      <w:r w:rsidRPr="00B102F4">
        <w:rPr>
          <w:rFonts w:ascii="Times New Roman" w:eastAsia="Times New Roman" w:hAnsi="Times New Roman" w:cs="Times New Roman"/>
          <w:sz w:val="24"/>
          <w:szCs w:val="24"/>
          <w:lang w:val="en" w:eastAsia="da-DK"/>
        </w:rPr>
        <w:t>Achema</w:t>
      </w:r>
      <w:proofErr w:type="spellEnd"/>
      <w:r w:rsidRPr="00B102F4">
        <w:rPr>
          <w:rFonts w:ascii="Times New Roman" w:eastAsia="Times New Roman" w:hAnsi="Times New Roman" w:cs="Times New Roman"/>
          <w:sz w:val="24"/>
          <w:szCs w:val="24"/>
          <w:lang w:val="en" w:eastAsia="da-DK"/>
        </w:rPr>
        <w:t xml:space="preserve"> [X] and </w:t>
      </w:r>
      <w:proofErr w:type="spellStart"/>
      <w:r w:rsidRPr="00B102F4">
        <w:rPr>
          <w:rFonts w:ascii="Times New Roman" w:eastAsia="Times New Roman" w:hAnsi="Times New Roman" w:cs="Times New Roman"/>
          <w:sz w:val="24"/>
          <w:szCs w:val="24"/>
          <w:lang w:val="en" w:eastAsia="da-DK"/>
        </w:rPr>
        <w:t>Zuid</w:t>
      </w:r>
      <w:proofErr w:type="spellEnd"/>
      <w:r w:rsidRPr="00B102F4">
        <w:rPr>
          <w:rFonts w:ascii="Times New Roman" w:eastAsia="Times New Roman" w:hAnsi="Times New Roman" w:cs="Times New Roman"/>
          <w:sz w:val="24"/>
          <w:szCs w:val="24"/>
          <w:lang w:val="en" w:eastAsia="da-DK"/>
        </w:rPr>
        <w:t xml:space="preserve"> [X].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6.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are both cooperative </w:t>
      </w:r>
      <w:proofErr w:type="gramStart"/>
      <w:r w:rsidRPr="00B102F4">
        <w:rPr>
          <w:rFonts w:ascii="Times New Roman" w:eastAsia="Times New Roman" w:hAnsi="Times New Roman" w:cs="Times New Roman"/>
          <w:sz w:val="24"/>
          <w:szCs w:val="24"/>
          <w:lang w:val="en" w:eastAsia="da-DK"/>
        </w:rPr>
        <w:t>societies</w:t>
      </w:r>
      <w:bookmarkStart w:id="3" w:name="_ftnref2"/>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"_ftn2"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w:t>
      </w:r>
      <w:r w:rsidRPr="00B102F4">
        <w:rPr>
          <w:rFonts w:ascii="Times New Roman" w:eastAsia="Times New Roman" w:hAnsi="Times New Roman" w:cs="Times New Roman"/>
          <w:sz w:val="24"/>
          <w:szCs w:val="24"/>
          <w:lang w:val="en" w:eastAsia="da-DK"/>
        </w:rPr>
        <w:fldChar w:fldCharType="end"/>
      </w:r>
      <w:bookmarkEnd w:id="3"/>
      <w:r w:rsidRPr="00B102F4">
        <w:rPr>
          <w:rFonts w:ascii="Times New Roman" w:eastAsia="Times New Roman" w:hAnsi="Times New Roman" w:cs="Times New Roman"/>
          <w:sz w:val="24"/>
          <w:szCs w:val="24"/>
          <w:lang w:val="en" w:eastAsia="da-DK"/>
        </w:rPr>
        <w:t xml:space="preserve"> operating in the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sector (grain, feed, seed, fertilizers and crop protection) with a combined market share of 55-60 % (fertilizers). Their closest competitor at the distribution level is the DLA Agro group with more or less 1/3 of the market.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and DLA Agro have published their plan to create a joint venture similar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The next distributor in line is </w:t>
      </w:r>
      <w:proofErr w:type="spellStart"/>
      <w:r w:rsidRPr="00B102F4">
        <w:rPr>
          <w:rFonts w:ascii="Times New Roman" w:eastAsia="Times New Roman" w:hAnsi="Times New Roman" w:cs="Times New Roman"/>
          <w:sz w:val="24"/>
          <w:szCs w:val="24"/>
          <w:lang w:val="en" w:eastAsia="da-DK"/>
        </w:rPr>
        <w:t>Aarhusegnens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Andel</w:t>
      </w:r>
      <w:proofErr w:type="spellEnd"/>
      <w:r w:rsidRPr="00B102F4">
        <w:rPr>
          <w:rFonts w:ascii="Times New Roman" w:eastAsia="Times New Roman" w:hAnsi="Times New Roman" w:cs="Times New Roman"/>
          <w:sz w:val="24"/>
          <w:szCs w:val="24"/>
          <w:lang w:val="en" w:eastAsia="da-DK"/>
        </w:rPr>
        <w:t xml:space="preserve"> which does not have a vertical relationship with any producer. Other – independent – players in wholesale and retail each account for less than 5 %.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bookmarkStart w:id="4" w:name="_Ref127252592"/>
      <w:bookmarkEnd w:id="4"/>
      <w:r w:rsidRPr="00B102F4">
        <w:rPr>
          <w:rFonts w:ascii="Times New Roman" w:eastAsia="Times New Roman" w:hAnsi="Times New Roman" w:cs="Times New Roman"/>
          <w:b/>
          <w:bCs/>
          <w:sz w:val="24"/>
          <w:szCs w:val="24"/>
          <w:lang w:val="en" w:eastAsia="da-DK"/>
        </w:rPr>
        <w:t>Table 1: The parties’ market shares (DK) - the fertilizer year 2004/05</w:t>
      </w:r>
    </w:p>
    <w:tbl>
      <w:tblPr>
        <w:tblW w:w="25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94"/>
        <w:gridCol w:w="1311"/>
        <w:gridCol w:w="1218"/>
        <w:gridCol w:w="785"/>
      </w:tblGrid>
      <w:tr w:rsidR="00B102F4" w:rsidRPr="00B102F4" w:rsidTr="00B102F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after="0" w:line="240" w:lineRule="auto"/>
              <w:rPr>
                <w:rFonts w:ascii="Times New Roman" w:eastAsia="Times New Roman" w:hAnsi="Times New Roman" w:cs="Times New Roman"/>
                <w:sz w:val="24"/>
                <w:szCs w:val="24"/>
                <w:lang w:eastAsia="da-DK"/>
              </w:rPr>
            </w:pP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Production</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Wholesale</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Retail</w:t>
            </w:r>
          </w:p>
        </w:tc>
      </w:tr>
      <w:tr w:rsidR="00B102F4" w:rsidRPr="00B102F4" w:rsidTr="00B102F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Yara</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r>
      <w:tr w:rsidR="00B102F4" w:rsidRPr="00B102F4" w:rsidTr="00B102F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lastRenderedPageBreak/>
              <w:t xml:space="preserve">DLG*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40-50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40-50</w:t>
            </w:r>
          </w:p>
        </w:tc>
      </w:tr>
      <w:tr w:rsidR="00B102F4" w:rsidRPr="00B102F4" w:rsidTr="00B102F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AgroDK</w:t>
            </w:r>
            <w:proofErr w:type="spellEnd"/>
            <w:r w:rsidRPr="00B102F4">
              <w:rPr>
                <w:rFonts w:ascii="Times New Roman" w:eastAsia="Times New Roman" w:hAnsi="Times New Roman" w:cs="Times New Roman"/>
                <w:b/>
                <w:bCs/>
                <w:sz w:val="24"/>
                <w:szCs w:val="24"/>
                <w:lang w:eastAsia="da-DK"/>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5-15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r>
      <w:tr w:rsidR="00B102F4" w:rsidRPr="00B102F4" w:rsidTr="00B102F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AgroDK</w:t>
            </w:r>
            <w:proofErr w:type="spellEnd"/>
            <w:r w:rsidRPr="00B102F4">
              <w:rPr>
                <w:rFonts w:ascii="Times New Roman" w:eastAsia="Times New Roman" w:hAnsi="Times New Roman" w:cs="Times New Roman"/>
                <w:b/>
                <w:bCs/>
                <w:sz w:val="24"/>
                <w:szCs w:val="24"/>
                <w:lang w:eastAsia="da-DK"/>
              </w:rPr>
              <w:t xml:space="preserve"> </w:t>
            </w:r>
            <w:proofErr w:type="spellStart"/>
            <w:r w:rsidRPr="00B102F4">
              <w:rPr>
                <w:rFonts w:ascii="Times New Roman" w:eastAsia="Times New Roman" w:hAnsi="Times New Roman" w:cs="Times New Roman"/>
                <w:b/>
                <w:bCs/>
                <w:sz w:val="24"/>
                <w:szCs w:val="24"/>
                <w:lang w:eastAsia="da-DK"/>
              </w:rPr>
              <w:t>members</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5-15</w:t>
            </w:r>
          </w:p>
        </w:tc>
      </w:tr>
      <w:tr w:rsidR="00B102F4" w:rsidRPr="00B102F4" w:rsidTr="00B102F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Ferti</w:t>
            </w:r>
            <w:proofErr w:type="spellEnd"/>
            <w:r w:rsidRPr="00B102F4">
              <w:rPr>
                <w:rFonts w:ascii="Times New Roman" w:eastAsia="Times New Roman" w:hAnsi="Times New Roman" w:cs="Times New Roman"/>
                <w:b/>
                <w:bCs/>
                <w:sz w:val="24"/>
                <w:szCs w:val="24"/>
                <w:lang w:eastAsia="da-DK"/>
              </w:rPr>
              <w:t xml:space="preserve"> Supply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55-60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55-60</w:t>
            </w:r>
          </w:p>
        </w:tc>
      </w:tr>
    </w:tbl>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Source: The notifying parties; the DCA’s calculations.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 DLG also sells fertilizers to other retailers not members of DLG.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members have a larger market share in the retail market than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in wholesale, among other due to sales directly from </w:t>
      </w:r>
      <w:proofErr w:type="spellStart"/>
      <w:r w:rsidRPr="00B102F4">
        <w:rPr>
          <w:rFonts w:ascii="Times New Roman" w:eastAsia="Times New Roman" w:hAnsi="Times New Roman" w:cs="Times New Roman"/>
          <w:sz w:val="24"/>
          <w:szCs w:val="24"/>
          <w:lang w:val="en" w:eastAsia="da-DK"/>
        </w:rPr>
        <w:t>DanGødning</w:t>
      </w:r>
      <w:proofErr w:type="spellEnd"/>
      <w:r w:rsidRPr="00B102F4">
        <w:rPr>
          <w:rFonts w:ascii="Times New Roman" w:eastAsia="Times New Roman" w:hAnsi="Times New Roman" w:cs="Times New Roman"/>
          <w:sz w:val="24"/>
          <w:szCs w:val="24"/>
          <w:lang w:val="en" w:eastAsia="da-DK"/>
        </w:rPr>
        <w:t xml:space="preserve"> to the individual members.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7. The parties’ rationale for creating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to </w:t>
      </w:r>
      <w:proofErr w:type="spellStart"/>
      <w:r w:rsidRPr="00B102F4">
        <w:rPr>
          <w:rFonts w:ascii="Times New Roman" w:eastAsia="Times New Roman" w:hAnsi="Times New Roman" w:cs="Times New Roman"/>
          <w:sz w:val="24"/>
          <w:szCs w:val="24"/>
          <w:lang w:val="en" w:eastAsia="da-DK"/>
        </w:rPr>
        <w:t>realise</w:t>
      </w:r>
      <w:proofErr w:type="spellEnd"/>
      <w:r w:rsidRPr="00B102F4">
        <w:rPr>
          <w:rFonts w:ascii="Times New Roman" w:eastAsia="Times New Roman" w:hAnsi="Times New Roman" w:cs="Times New Roman"/>
          <w:sz w:val="24"/>
          <w:szCs w:val="24"/>
          <w:lang w:val="en" w:eastAsia="da-DK"/>
        </w:rPr>
        <w:t xml:space="preserve"> synergies within the value chain in Denmark, e.g. in the form of scale advantages (joint warehousing and purchasing) and logistic advantages (transportation, sourcing and storage strategies).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have access to a fine-meshed distribution network, amongst other things by leasing storage facilities owned by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throughout Denmark.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8. In connection with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the parent companies have entered into supply/distribution agreements with the joint venture. These agreements contain exclusivity and purchase obligations with a duration of 3 years.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will purchase fertilizers exclusively from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obliged to purchase at least [X] of its requirement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At the same time,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become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sole distributor in Denmark. Amounts not purchased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will be purchased from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a purchase cooperation owned partly by DLG, which currently purchases fertilizers on behalf of both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w:t>
      </w:r>
      <w:bookmarkStart w:id="5" w:name="_ftnref3"/>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"_ftn3"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w:t>
      </w:r>
      <w:r w:rsidRPr="00B102F4">
        <w:rPr>
          <w:rFonts w:ascii="Times New Roman" w:eastAsia="Times New Roman" w:hAnsi="Times New Roman" w:cs="Times New Roman"/>
          <w:sz w:val="24"/>
          <w:szCs w:val="24"/>
          <w:lang w:val="en" w:eastAsia="da-DK"/>
        </w:rPr>
        <w:fldChar w:fldCharType="end"/>
      </w:r>
      <w:bookmarkEnd w:id="5"/>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Favourable</w:t>
      </w:r>
      <w:proofErr w:type="spellEnd"/>
      <w:r w:rsidRPr="00B102F4">
        <w:rPr>
          <w:rFonts w:ascii="Times New Roman" w:eastAsia="Times New Roman" w:hAnsi="Times New Roman" w:cs="Times New Roman"/>
          <w:sz w:val="24"/>
          <w:szCs w:val="24"/>
          <w:lang w:val="en" w:eastAsia="da-DK"/>
        </w:rPr>
        <w:t xml:space="preserve"> pricing mechanisms between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upstream, and between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downstream, have also been determined by the parent companies.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profit will be divided between the parents [...].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9. Market investigations have revealed concerns from all levels of the value chain. The concerns are especially pointed towards access barriers as a result of the merger.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10. The DCA has identified several concerns as a result of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which can be summed up to a considerable risk of significant impediment of effective competition, in particular as a result of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dominant position and due to the increased vertical integration in the market. This is further supported by the agreed exclusivities for 3 years between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downstream, creating access foreclosure for other fertilizer producers/competitors to the Danish farmers. For a period of 3 years, competitors can approach 55-60 % of the retail market through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only. Competition to keep prices down may therefore be reduced.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11. The parties have submitted commitments that will abolish the agreed exclusivities downstream and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long term minimum purchase obligation upstream. In short, the parties have </w:t>
      </w:r>
      <w:r w:rsidRPr="00B102F4">
        <w:rPr>
          <w:rFonts w:ascii="Times New Roman" w:eastAsia="Times New Roman" w:hAnsi="Times New Roman" w:cs="Times New Roman"/>
          <w:sz w:val="24"/>
          <w:szCs w:val="24"/>
          <w:lang w:val="en" w:eastAsia="da-DK"/>
        </w:rPr>
        <w:lastRenderedPageBreak/>
        <w:t xml:space="preserve">agreed that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before 1 April each year will negotiate one-year-quantity contracts with both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These one-year-quantity contracts stipulate the purchase obligations of respectively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towards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for the coming fertilizer year and, at the same time, the respective purchase and delivery obligations between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for the same fertilizer year.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may act as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sole distributor that year. The new contracts will expire automatically on 30 June next year giving other producers/wholesalers access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and their distribution network. The contracts will follow the typical cycles for fertilizer trading and competitors shall thus have the same opportunity as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to approach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with competitive offers, and neither is bound by any pre-existing, long term purchase obligations. In this way, the Danish fertilizer market will not be locked in. Attractive offers from competitors can, therefore, find their way to Danish retailers and contribute to increase the competitive pressure on retail prices. The framework agreements can be terminated with a notice of 3 months to 30 June.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12. The proposed commitments will, accordingly, meet the competitive concerns identified, and the DCA concludes – on this basis – that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does not significantly impede effective competition in the Danish fertilizer market, in particular as a result of the creation or strengthening of a dominant position, why it shall be approved; cf. Section </w:t>
      </w:r>
      <w:proofErr w:type="gramStart"/>
      <w:r w:rsidRPr="00B102F4">
        <w:rPr>
          <w:rFonts w:ascii="Times New Roman" w:eastAsia="Times New Roman" w:hAnsi="Times New Roman" w:cs="Times New Roman"/>
          <w:sz w:val="24"/>
          <w:szCs w:val="24"/>
          <w:lang w:val="en" w:eastAsia="da-DK"/>
        </w:rPr>
        <w:t>12c(</w:t>
      </w:r>
      <w:proofErr w:type="gramEnd"/>
      <w:r w:rsidRPr="00B102F4">
        <w:rPr>
          <w:rFonts w:ascii="Times New Roman" w:eastAsia="Times New Roman" w:hAnsi="Times New Roman" w:cs="Times New Roman"/>
          <w:sz w:val="24"/>
          <w:szCs w:val="24"/>
          <w:lang w:val="en" w:eastAsia="da-DK"/>
        </w:rPr>
        <w:t xml:space="preserve">1) and Section 12e(1) of the Danish Competition Act.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6" w:name="_Toc127618168"/>
      <w:bookmarkEnd w:id="6"/>
      <w:r w:rsidRPr="00B102F4">
        <w:rPr>
          <w:rFonts w:ascii="Times New Roman" w:eastAsia="Times New Roman" w:hAnsi="Times New Roman" w:cs="Times New Roman"/>
          <w:b/>
          <w:bCs/>
          <w:sz w:val="27"/>
          <w:szCs w:val="27"/>
          <w:lang w:val="en" w:eastAsia="da-DK"/>
        </w:rPr>
        <w:t>Commitments proposed by the notifying parties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13. The DCA has concluded that the commitments submitted by the notifying parties are sufficient to address the competition concerns raised by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The wording of the proposed commitments is: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b/>
          <w:bCs/>
          <w:i/>
          <w:iCs/>
          <w:sz w:val="24"/>
          <w:szCs w:val="24"/>
          <w:lang w:val="en" w:eastAsia="da-DK"/>
        </w:rPr>
        <w:t>“COMMITMENT</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b/>
          <w:bCs/>
          <w:i/>
          <w:iCs/>
          <w:sz w:val="24"/>
          <w:szCs w:val="24"/>
          <w:lang w:val="en" w:eastAsia="da-DK"/>
        </w:rPr>
        <w:t>------------------</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B102F4">
        <w:rPr>
          <w:rFonts w:ascii="Times New Roman" w:eastAsia="Times New Roman" w:hAnsi="Times New Roman" w:cs="Times New Roman"/>
          <w:i/>
          <w:iCs/>
          <w:sz w:val="24"/>
          <w:szCs w:val="24"/>
          <w:lang w:val="en" w:eastAsia="da-DK"/>
        </w:rPr>
        <w:t>provided</w:t>
      </w:r>
      <w:proofErr w:type="gramEnd"/>
      <w:r w:rsidRPr="00B102F4">
        <w:rPr>
          <w:rFonts w:ascii="Times New Roman" w:eastAsia="Times New Roman" w:hAnsi="Times New Roman" w:cs="Times New Roman"/>
          <w:i/>
          <w:iCs/>
          <w:sz w:val="24"/>
          <w:szCs w:val="24"/>
          <w:lang w:val="en" w:eastAsia="da-DK"/>
        </w:rPr>
        <w:t xml:space="preserve"> by DLG, Agro </w:t>
      </w:r>
      <w:proofErr w:type="spellStart"/>
      <w:r w:rsidRPr="00B102F4">
        <w:rPr>
          <w:rFonts w:ascii="Times New Roman" w:eastAsia="Times New Roman" w:hAnsi="Times New Roman" w:cs="Times New Roman"/>
          <w:i/>
          <w:iCs/>
          <w:sz w:val="24"/>
          <w:szCs w:val="24"/>
          <w:lang w:val="en" w:eastAsia="da-DK"/>
        </w:rPr>
        <w:t>Danmark</w:t>
      </w:r>
      <w:proofErr w:type="spellEnd"/>
      <w:r w:rsidRPr="00B102F4">
        <w:rPr>
          <w:rFonts w:ascii="Times New Roman" w:eastAsia="Times New Roman" w:hAnsi="Times New Roman" w:cs="Times New Roman"/>
          <w:i/>
          <w:iCs/>
          <w:sz w:val="24"/>
          <w:szCs w:val="24"/>
          <w:lang w:val="en" w:eastAsia="da-DK"/>
        </w:rPr>
        <w:t xml:space="preserve"> and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w:t>
      </w:r>
      <w:proofErr w:type="spellStart"/>
      <w:r w:rsidRPr="00B102F4">
        <w:rPr>
          <w:rFonts w:ascii="Times New Roman" w:eastAsia="Times New Roman" w:hAnsi="Times New Roman" w:cs="Times New Roman"/>
          <w:i/>
          <w:iCs/>
          <w:sz w:val="24"/>
          <w:szCs w:val="24"/>
          <w:lang w:val="en" w:eastAsia="da-DK"/>
        </w:rPr>
        <w:t>Danmark</w:t>
      </w:r>
      <w:proofErr w:type="spellEnd"/>
      <w:r w:rsidRPr="00B102F4">
        <w:rPr>
          <w:rFonts w:ascii="Times New Roman" w:eastAsia="Times New Roman" w:hAnsi="Times New Roman" w:cs="Times New Roman"/>
          <w:i/>
          <w:iCs/>
          <w:sz w:val="24"/>
          <w:szCs w:val="24"/>
          <w:lang w:val="en" w:eastAsia="da-DK"/>
        </w:rPr>
        <w:t xml:space="preserve"> A/S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(together the ”Parties”) to the Danish Competition Council in connection with the Parties’ formation of the joint venture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b/>
          <w:bCs/>
          <w:i/>
          <w:iCs/>
          <w:sz w:val="24"/>
          <w:szCs w:val="24"/>
          <w:lang w:val="en" w:eastAsia="da-DK"/>
        </w:rPr>
        <w:t>§ 1</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t xml:space="preserve">1.1 The Parties have concluded an agreement on the future formation of a joint venture,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I/S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to be responsible for the Parties’ import, distribution and sale (at wholesale level) of fertilizer on the Danish market (“the Market”).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t xml:space="preserve">The formation of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is a merger within the meaning of the applicable rules on competition. The merger has Community dimension and on 13 July 2005, the Parties filed a form RS to the Commission requesting the Commission to refer the case for review by the Danish Competition Authority. On 1 September 2005, the Commission decided to refer the case and the Parties subsequently notified the Danish Competition Authority of the merger. The notification was declared complete on 20 December 2005.</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lastRenderedPageBreak/>
        <w:t xml:space="preserve">1.2 Conditional upon the Danish Competition Council’s approval of the merger without any further conditions, the Parties hereby undertake as follows: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b/>
          <w:bCs/>
          <w:i/>
          <w:iCs/>
          <w:sz w:val="24"/>
          <w:szCs w:val="24"/>
          <w:lang w:val="en" w:eastAsia="da-DK"/>
        </w:rPr>
        <w:t>§ 2</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t xml:space="preserve">2.1 The Parties undertake to prepare and execute an addendum to the overall body of agreements (the ”Addendum”) which leaves out clauses 4.1 and 5.1 of the distribution agreement concluded between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and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and clause 5.1 of the identical agreements concluded between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and DLG and Agro </w:t>
      </w:r>
      <w:proofErr w:type="spellStart"/>
      <w:r w:rsidRPr="00B102F4">
        <w:rPr>
          <w:rFonts w:ascii="Times New Roman" w:eastAsia="Times New Roman" w:hAnsi="Times New Roman" w:cs="Times New Roman"/>
          <w:i/>
          <w:iCs/>
          <w:sz w:val="24"/>
          <w:szCs w:val="24"/>
          <w:lang w:val="en" w:eastAsia="da-DK"/>
        </w:rPr>
        <w:t>Danmark</w:t>
      </w:r>
      <w:proofErr w:type="spellEnd"/>
      <w:r w:rsidRPr="00B102F4">
        <w:rPr>
          <w:rFonts w:ascii="Times New Roman" w:eastAsia="Times New Roman" w:hAnsi="Times New Roman" w:cs="Times New Roman"/>
          <w:i/>
          <w:iCs/>
          <w:sz w:val="24"/>
          <w:szCs w:val="24"/>
          <w:lang w:val="en" w:eastAsia="da-DK"/>
        </w:rPr>
        <w:t xml:space="preserve">, respectively.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t>2.2 Moreover, the Addendum will include supplementary general provisions which in detail implement the following model and introduce such changes in the body of agreements as are necessary for the implementation.</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B102F4">
        <w:rPr>
          <w:rFonts w:ascii="Times New Roman" w:eastAsia="Times New Roman" w:hAnsi="Times New Roman" w:cs="Times New Roman"/>
          <w:i/>
          <w:iCs/>
          <w:sz w:val="24"/>
          <w:szCs w:val="24"/>
          <w:lang w:val="en" w:eastAsia="da-DK"/>
        </w:rPr>
        <w:t>No later than on 1 April prior to the beginning of each fertilizer year, the Parties will negotiate agreements on fertilizer quantities for the next fertilizer year (which year begins on 1 July in the same year and ends on 30 June in the year after).</w:t>
      </w:r>
      <w:proofErr w:type="gramEnd"/>
      <w:r w:rsidRPr="00B102F4">
        <w:rPr>
          <w:rFonts w:ascii="Times New Roman" w:eastAsia="Times New Roman" w:hAnsi="Times New Roman" w:cs="Times New Roman"/>
          <w:i/>
          <w:iCs/>
          <w:sz w:val="24"/>
          <w:szCs w:val="24"/>
          <w:lang w:val="en" w:eastAsia="da-DK"/>
        </w:rPr>
        <w:t xml:space="preserve"> The agreements shall pertain to:</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 </w:t>
      </w:r>
      <w:proofErr w:type="gramStart"/>
      <w:r w:rsidRPr="00B102F4">
        <w:rPr>
          <w:rFonts w:ascii="Times New Roman" w:eastAsia="Times New Roman" w:hAnsi="Times New Roman" w:cs="Times New Roman"/>
          <w:i/>
          <w:iCs/>
          <w:sz w:val="24"/>
          <w:szCs w:val="24"/>
          <w:lang w:val="en" w:eastAsia="da-DK"/>
        </w:rPr>
        <w:t>the</w:t>
      </w:r>
      <w:proofErr w:type="gramEnd"/>
      <w:r w:rsidRPr="00B102F4">
        <w:rPr>
          <w:rFonts w:ascii="Times New Roman" w:eastAsia="Times New Roman" w:hAnsi="Times New Roman" w:cs="Times New Roman"/>
          <w:i/>
          <w:iCs/>
          <w:sz w:val="24"/>
          <w:szCs w:val="24"/>
          <w:lang w:val="en" w:eastAsia="da-DK"/>
        </w:rPr>
        <w:t xml:space="preserve"> quantities for </w:t>
      </w:r>
      <w:proofErr w:type="spellStart"/>
      <w:r w:rsidRPr="00B102F4">
        <w:rPr>
          <w:rFonts w:ascii="Times New Roman" w:eastAsia="Times New Roman" w:hAnsi="Times New Roman" w:cs="Times New Roman"/>
          <w:i/>
          <w:iCs/>
          <w:sz w:val="24"/>
          <w:szCs w:val="24"/>
          <w:lang w:val="en" w:eastAsia="da-DK"/>
        </w:rPr>
        <w:t>Yara’s</w:t>
      </w:r>
      <w:proofErr w:type="spellEnd"/>
      <w:r w:rsidRPr="00B102F4">
        <w:rPr>
          <w:rFonts w:ascii="Times New Roman" w:eastAsia="Times New Roman" w:hAnsi="Times New Roman" w:cs="Times New Roman"/>
          <w:i/>
          <w:iCs/>
          <w:sz w:val="24"/>
          <w:szCs w:val="24"/>
          <w:lang w:val="en" w:eastAsia="da-DK"/>
        </w:rPr>
        <w:t xml:space="preserve"> sale to and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Supply’s purchase of products from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Products”),</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 </w:t>
      </w:r>
      <w:proofErr w:type="gramStart"/>
      <w:r w:rsidRPr="00B102F4">
        <w:rPr>
          <w:rFonts w:ascii="Times New Roman" w:eastAsia="Times New Roman" w:hAnsi="Times New Roman" w:cs="Times New Roman"/>
          <w:i/>
          <w:iCs/>
          <w:sz w:val="24"/>
          <w:szCs w:val="24"/>
          <w:lang w:val="en" w:eastAsia="da-DK"/>
        </w:rPr>
        <w:t>the</w:t>
      </w:r>
      <w:proofErr w:type="gramEnd"/>
      <w:r w:rsidRPr="00B102F4">
        <w:rPr>
          <w:rFonts w:ascii="Times New Roman" w:eastAsia="Times New Roman" w:hAnsi="Times New Roman" w:cs="Times New Roman"/>
          <w:i/>
          <w:iCs/>
          <w:sz w:val="24"/>
          <w:szCs w:val="24"/>
          <w:lang w:val="en" w:eastAsia="da-DK"/>
        </w:rPr>
        <w:t xml:space="preserve"> quantities for DLG’s and Agro </w:t>
      </w:r>
      <w:proofErr w:type="spellStart"/>
      <w:r w:rsidRPr="00B102F4">
        <w:rPr>
          <w:rFonts w:ascii="Times New Roman" w:eastAsia="Times New Roman" w:hAnsi="Times New Roman" w:cs="Times New Roman"/>
          <w:i/>
          <w:iCs/>
          <w:sz w:val="24"/>
          <w:szCs w:val="24"/>
          <w:lang w:val="en" w:eastAsia="da-DK"/>
        </w:rPr>
        <w:t>Danmark’s</w:t>
      </w:r>
      <w:proofErr w:type="spellEnd"/>
      <w:r w:rsidRPr="00B102F4">
        <w:rPr>
          <w:rFonts w:ascii="Times New Roman" w:eastAsia="Times New Roman" w:hAnsi="Times New Roman" w:cs="Times New Roman"/>
          <w:i/>
          <w:iCs/>
          <w:sz w:val="24"/>
          <w:szCs w:val="24"/>
          <w:lang w:val="en" w:eastAsia="da-DK"/>
        </w:rPr>
        <w:t xml:space="preserve"> purchase of fertilizer (”Products”) from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t xml:space="preserve">The one-year agreements imply that DLG and Agro </w:t>
      </w:r>
      <w:proofErr w:type="spellStart"/>
      <w:r w:rsidRPr="00B102F4">
        <w:rPr>
          <w:rFonts w:ascii="Times New Roman" w:eastAsia="Times New Roman" w:hAnsi="Times New Roman" w:cs="Times New Roman"/>
          <w:i/>
          <w:iCs/>
          <w:sz w:val="24"/>
          <w:szCs w:val="24"/>
          <w:lang w:val="en" w:eastAsia="da-DK"/>
        </w:rPr>
        <w:t>Danmark</w:t>
      </w:r>
      <w:proofErr w:type="spellEnd"/>
      <w:r w:rsidRPr="00B102F4">
        <w:rPr>
          <w:rFonts w:ascii="Times New Roman" w:eastAsia="Times New Roman" w:hAnsi="Times New Roman" w:cs="Times New Roman"/>
          <w:i/>
          <w:iCs/>
          <w:sz w:val="24"/>
          <w:szCs w:val="24"/>
          <w:lang w:val="en" w:eastAsia="da-DK"/>
        </w:rPr>
        <w:t xml:space="preserve">, respectively, undertake towards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to buy an agreed quantity of Products in the relevant fertilizer year from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and that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undertakes to buy from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and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to deliver to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an agreed quantity of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Products in the same fertilizer year. The quantity of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Products which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undertakes to buy does not necessarily have to equal the quantity of Products which DLG and Agro </w:t>
      </w:r>
      <w:proofErr w:type="spellStart"/>
      <w:r w:rsidRPr="00B102F4">
        <w:rPr>
          <w:rFonts w:ascii="Times New Roman" w:eastAsia="Times New Roman" w:hAnsi="Times New Roman" w:cs="Times New Roman"/>
          <w:i/>
          <w:iCs/>
          <w:sz w:val="24"/>
          <w:szCs w:val="24"/>
          <w:lang w:val="en" w:eastAsia="da-DK"/>
        </w:rPr>
        <w:t>Danmark</w:t>
      </w:r>
      <w:proofErr w:type="spellEnd"/>
      <w:r w:rsidRPr="00B102F4">
        <w:rPr>
          <w:rFonts w:ascii="Times New Roman" w:eastAsia="Times New Roman" w:hAnsi="Times New Roman" w:cs="Times New Roman"/>
          <w:i/>
          <w:iCs/>
          <w:sz w:val="24"/>
          <w:szCs w:val="24"/>
          <w:lang w:val="en" w:eastAsia="da-DK"/>
        </w:rPr>
        <w:t xml:space="preserve"> collectively undertake to buy from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as it is presumed that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also buys fertilizer from other suppliers, mainly through </w:t>
      </w:r>
      <w:proofErr w:type="spellStart"/>
      <w:r w:rsidRPr="00B102F4">
        <w:rPr>
          <w:rFonts w:ascii="Times New Roman" w:eastAsia="Times New Roman" w:hAnsi="Times New Roman" w:cs="Times New Roman"/>
          <w:i/>
          <w:iCs/>
          <w:sz w:val="24"/>
          <w:szCs w:val="24"/>
          <w:lang w:val="en" w:eastAsia="da-DK"/>
        </w:rPr>
        <w:t>SweDane</w:t>
      </w:r>
      <w:proofErr w:type="spellEnd"/>
      <w:r w:rsidRPr="00B102F4">
        <w:rPr>
          <w:rFonts w:ascii="Times New Roman" w:eastAsia="Times New Roman" w:hAnsi="Times New Roman" w:cs="Times New Roman"/>
          <w:i/>
          <w:iCs/>
          <w:sz w:val="24"/>
          <w:szCs w:val="24"/>
          <w:lang w:val="en" w:eastAsia="da-DK"/>
        </w:rPr>
        <w:t xml:space="preserve"> Fertilizer A/S.</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t xml:space="preserve">Through the Parties’ entering into the abovementioned one-year agreements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commits itself to appoint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as its exclusive distributor of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Products on the Market in the relevant fertilizer year. However,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shall not be precluded from making passive sales to the Market and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shall always be entitled to purchase fertilizer from other suppliers/manufacturers.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t xml:space="preserve">It is emphasized that there is correlation between the one-year agreements in as much as the quantity of Products which DLG and Agro </w:t>
      </w:r>
      <w:proofErr w:type="spellStart"/>
      <w:r w:rsidRPr="00B102F4">
        <w:rPr>
          <w:rFonts w:ascii="Times New Roman" w:eastAsia="Times New Roman" w:hAnsi="Times New Roman" w:cs="Times New Roman"/>
          <w:i/>
          <w:iCs/>
          <w:sz w:val="24"/>
          <w:szCs w:val="24"/>
          <w:lang w:val="en" w:eastAsia="da-DK"/>
        </w:rPr>
        <w:t>Danmark</w:t>
      </w:r>
      <w:proofErr w:type="spellEnd"/>
      <w:r w:rsidRPr="00B102F4">
        <w:rPr>
          <w:rFonts w:ascii="Times New Roman" w:eastAsia="Times New Roman" w:hAnsi="Times New Roman" w:cs="Times New Roman"/>
          <w:i/>
          <w:iCs/>
          <w:sz w:val="24"/>
          <w:szCs w:val="24"/>
          <w:lang w:val="en" w:eastAsia="da-DK"/>
        </w:rPr>
        <w:t xml:space="preserve"> undertake to buy from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in any given fertilizer year plays a role in </w:t>
      </w:r>
      <w:proofErr w:type="spellStart"/>
      <w:r w:rsidRPr="00B102F4">
        <w:rPr>
          <w:rFonts w:ascii="Times New Roman" w:eastAsia="Times New Roman" w:hAnsi="Times New Roman" w:cs="Times New Roman"/>
          <w:i/>
          <w:iCs/>
          <w:sz w:val="24"/>
          <w:szCs w:val="24"/>
          <w:lang w:val="en" w:eastAsia="da-DK"/>
        </w:rPr>
        <w:t>Yara’s</w:t>
      </w:r>
      <w:proofErr w:type="spellEnd"/>
      <w:r w:rsidRPr="00B102F4">
        <w:rPr>
          <w:rFonts w:ascii="Times New Roman" w:eastAsia="Times New Roman" w:hAnsi="Times New Roman" w:cs="Times New Roman"/>
          <w:i/>
          <w:iCs/>
          <w:sz w:val="24"/>
          <w:szCs w:val="24"/>
          <w:lang w:val="en" w:eastAsia="da-DK"/>
        </w:rPr>
        <w:t xml:space="preserve"> decision as to whether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is to be appointed exclusive distributor in that same fertilizer year.</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t xml:space="preserve">If the Parties fail to reach an agreement on the total quantities (i.e. DLG’s and Agro </w:t>
      </w:r>
      <w:proofErr w:type="spellStart"/>
      <w:r w:rsidRPr="00B102F4">
        <w:rPr>
          <w:rFonts w:ascii="Times New Roman" w:eastAsia="Times New Roman" w:hAnsi="Times New Roman" w:cs="Times New Roman"/>
          <w:i/>
          <w:iCs/>
          <w:sz w:val="24"/>
          <w:szCs w:val="24"/>
          <w:lang w:val="en" w:eastAsia="da-DK"/>
        </w:rPr>
        <w:t>Danmark’s</w:t>
      </w:r>
      <w:proofErr w:type="spellEnd"/>
      <w:r w:rsidRPr="00B102F4">
        <w:rPr>
          <w:rFonts w:ascii="Times New Roman" w:eastAsia="Times New Roman" w:hAnsi="Times New Roman" w:cs="Times New Roman"/>
          <w:i/>
          <w:iCs/>
          <w:sz w:val="24"/>
          <w:szCs w:val="24"/>
          <w:lang w:val="en" w:eastAsia="da-DK"/>
        </w:rPr>
        <w:t xml:space="preserve"> total purchase of Products from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and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Supply’s purchase of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Products) prior to a given fertilizer year, the Parties shall be released of their obligations towards each other. Consequently, DLG and Agro </w:t>
      </w:r>
      <w:proofErr w:type="spellStart"/>
      <w:r w:rsidRPr="00B102F4">
        <w:rPr>
          <w:rFonts w:ascii="Times New Roman" w:eastAsia="Times New Roman" w:hAnsi="Times New Roman" w:cs="Times New Roman"/>
          <w:i/>
          <w:iCs/>
          <w:sz w:val="24"/>
          <w:szCs w:val="24"/>
          <w:lang w:val="en" w:eastAsia="da-DK"/>
        </w:rPr>
        <w:t>Danmark</w:t>
      </w:r>
      <w:proofErr w:type="spellEnd"/>
      <w:r w:rsidRPr="00B102F4">
        <w:rPr>
          <w:rFonts w:ascii="Times New Roman" w:eastAsia="Times New Roman" w:hAnsi="Times New Roman" w:cs="Times New Roman"/>
          <w:i/>
          <w:iCs/>
          <w:sz w:val="24"/>
          <w:szCs w:val="24"/>
          <w:lang w:val="en" w:eastAsia="da-DK"/>
        </w:rPr>
        <w:t xml:space="preserve"> shall not be obliged to buy a certain quantity of Products from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in the relevant fertilizer year and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will not be appointed exclusive </w:t>
      </w:r>
      <w:r w:rsidRPr="00B102F4">
        <w:rPr>
          <w:rFonts w:ascii="Times New Roman" w:eastAsia="Times New Roman" w:hAnsi="Times New Roman" w:cs="Times New Roman"/>
          <w:i/>
          <w:iCs/>
          <w:sz w:val="24"/>
          <w:szCs w:val="24"/>
          <w:lang w:val="en" w:eastAsia="da-DK"/>
        </w:rPr>
        <w:lastRenderedPageBreak/>
        <w:t xml:space="preserve">distributor of </w:t>
      </w:r>
      <w:proofErr w:type="spellStart"/>
      <w:r w:rsidRPr="00B102F4">
        <w:rPr>
          <w:rFonts w:ascii="Times New Roman" w:eastAsia="Times New Roman" w:hAnsi="Times New Roman" w:cs="Times New Roman"/>
          <w:i/>
          <w:iCs/>
          <w:sz w:val="24"/>
          <w:szCs w:val="24"/>
          <w:lang w:val="en" w:eastAsia="da-DK"/>
        </w:rPr>
        <w:t>Yara</w:t>
      </w:r>
      <w:proofErr w:type="spellEnd"/>
      <w:r w:rsidRPr="00B102F4">
        <w:rPr>
          <w:rFonts w:ascii="Times New Roman" w:eastAsia="Times New Roman" w:hAnsi="Times New Roman" w:cs="Times New Roman"/>
          <w:i/>
          <w:iCs/>
          <w:sz w:val="24"/>
          <w:szCs w:val="24"/>
          <w:lang w:val="en" w:eastAsia="da-DK"/>
        </w:rPr>
        <w:t xml:space="preserve"> Products in the same fertilizer year. However, the Parties may continue to trade with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during the fertilizer year in question as usual.</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t xml:space="preserve">2.3 In consequence of the above changes and the above described model, the Addendum will also include provision(s) – as will the amendments to the body of agreements required for the implementation be effected – allowing each Party (subject to certain conditions) to terminate the co-operation at the beginning of April for expiry at the end of June, if the Parties as of 1 April have failed to reach agreement regarding the total quantities as described in clause 2.2, last paragraph.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B102F4">
        <w:rPr>
          <w:rFonts w:ascii="Times New Roman" w:eastAsia="Times New Roman" w:hAnsi="Times New Roman" w:cs="Times New Roman"/>
          <w:i/>
          <w:iCs/>
          <w:sz w:val="24"/>
          <w:szCs w:val="24"/>
          <w:lang w:val="en" w:eastAsia="da-DK"/>
        </w:rPr>
        <w:t>If so, [].</w:t>
      </w:r>
      <w:proofErr w:type="gramEnd"/>
      <w:r w:rsidRPr="00B102F4">
        <w:rPr>
          <w:rFonts w:ascii="Times New Roman" w:eastAsia="Times New Roman" w:hAnsi="Times New Roman" w:cs="Times New Roman"/>
          <w:i/>
          <w:iCs/>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t xml:space="preserve">2.4 The deadline for performance of the above commitment is on the earlier of 1 April 2006 or at the time of formation of </w:t>
      </w:r>
      <w:proofErr w:type="spellStart"/>
      <w:r w:rsidRPr="00B102F4">
        <w:rPr>
          <w:rFonts w:ascii="Times New Roman" w:eastAsia="Times New Roman" w:hAnsi="Times New Roman" w:cs="Times New Roman"/>
          <w:i/>
          <w:iCs/>
          <w:sz w:val="24"/>
          <w:szCs w:val="24"/>
          <w:lang w:val="en" w:eastAsia="da-DK"/>
        </w:rPr>
        <w:t>Ferti</w:t>
      </w:r>
      <w:proofErr w:type="spellEnd"/>
      <w:r w:rsidRPr="00B102F4">
        <w:rPr>
          <w:rFonts w:ascii="Times New Roman" w:eastAsia="Times New Roman" w:hAnsi="Times New Roman" w:cs="Times New Roman"/>
          <w:i/>
          <w:iCs/>
          <w:sz w:val="24"/>
          <w:szCs w:val="24"/>
          <w:lang w:val="en" w:eastAsia="da-DK"/>
        </w:rPr>
        <w:t xml:space="preserve"> Supply.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b/>
          <w:bCs/>
          <w:i/>
          <w:iCs/>
          <w:sz w:val="24"/>
          <w:szCs w:val="24"/>
          <w:lang w:val="en" w:eastAsia="da-DK"/>
        </w:rPr>
        <w:t>§ 3</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i/>
          <w:iCs/>
          <w:sz w:val="24"/>
          <w:szCs w:val="24"/>
          <w:lang w:val="en" w:eastAsia="da-DK"/>
        </w:rPr>
        <w:t>3.1 The Parties have made the above commitment subject to the approval of the Danish Competition Council of the merger. It is also a condition that the Danish Competition Council approves the described model. If such approvals are denied, the Parties shall not be bound by the above commitment.”</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14. On condition that the parties fully comply with the proposed commitments,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not significantly impede effective competition in the Danish fertilizer markets, in particular as a result of the creation or strengthening of a dominant position.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7" w:name="_Toc128203451"/>
      <w:bookmarkEnd w:id="7"/>
      <w:r w:rsidRPr="00B102F4">
        <w:rPr>
          <w:rFonts w:ascii="Times New Roman" w:eastAsia="Times New Roman" w:hAnsi="Times New Roman" w:cs="Times New Roman"/>
          <w:b/>
          <w:bCs/>
          <w:sz w:val="36"/>
          <w:szCs w:val="36"/>
          <w:lang w:val="en" w:eastAsia="da-DK"/>
        </w:rPr>
        <w:t>Decision</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15. The Danish Competition Council approves the creation of the joint venture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between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Danmark</w:t>
      </w:r>
      <w:proofErr w:type="spellEnd"/>
      <w:r w:rsidRPr="00B102F4">
        <w:rPr>
          <w:rFonts w:ascii="Times New Roman" w:eastAsia="Times New Roman" w:hAnsi="Times New Roman" w:cs="Times New Roman"/>
          <w:sz w:val="24"/>
          <w:szCs w:val="24"/>
          <w:lang w:val="en" w:eastAsia="da-DK"/>
        </w:rPr>
        <w:t xml:space="preserve"> A/S, Dansk </w:t>
      </w:r>
      <w:proofErr w:type="spellStart"/>
      <w:r w:rsidRPr="00B102F4">
        <w:rPr>
          <w:rFonts w:ascii="Times New Roman" w:eastAsia="Times New Roman" w:hAnsi="Times New Roman" w:cs="Times New Roman"/>
          <w:sz w:val="24"/>
          <w:szCs w:val="24"/>
          <w:lang w:val="en" w:eastAsia="da-DK"/>
        </w:rPr>
        <w:t>Landbrugs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Grovvareselskab</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A.m.b.A</w:t>
      </w:r>
      <w:proofErr w:type="spellEnd"/>
      <w:r w:rsidRPr="00B102F4">
        <w:rPr>
          <w:rFonts w:ascii="Times New Roman" w:eastAsia="Times New Roman" w:hAnsi="Times New Roman" w:cs="Times New Roman"/>
          <w:sz w:val="24"/>
          <w:szCs w:val="24"/>
          <w:lang w:val="en" w:eastAsia="da-DK"/>
        </w:rPr>
        <w:t xml:space="preserve"> and </w:t>
      </w:r>
      <w:proofErr w:type="spellStart"/>
      <w:r w:rsidRPr="00B102F4">
        <w:rPr>
          <w:rFonts w:ascii="Times New Roman" w:eastAsia="Times New Roman" w:hAnsi="Times New Roman" w:cs="Times New Roman"/>
          <w:sz w:val="24"/>
          <w:szCs w:val="24"/>
          <w:lang w:val="en" w:eastAsia="da-DK"/>
        </w:rPr>
        <w:t>AgroDanmark</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A.m.b.A</w:t>
      </w:r>
      <w:proofErr w:type="spellEnd"/>
      <w:r w:rsidRPr="00B102F4">
        <w:rPr>
          <w:rFonts w:ascii="Times New Roman" w:eastAsia="Times New Roman" w:hAnsi="Times New Roman" w:cs="Times New Roman"/>
          <w:sz w:val="24"/>
          <w:szCs w:val="24"/>
          <w:lang w:val="en" w:eastAsia="da-DK"/>
        </w:rPr>
        <w:t xml:space="preserve">., on condition that the notifying parties implement the proposed commitments, pursuant to Section 12c(1) and Section 12e(1) of the Danish Competition Act.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8" w:name="_Toc128203452"/>
      <w:bookmarkEnd w:id="8"/>
      <w:r w:rsidRPr="00B102F4">
        <w:rPr>
          <w:rFonts w:ascii="Times New Roman" w:eastAsia="Times New Roman" w:hAnsi="Times New Roman" w:cs="Times New Roman"/>
          <w:b/>
          <w:bCs/>
          <w:sz w:val="36"/>
          <w:szCs w:val="36"/>
          <w:lang w:val="en" w:eastAsia="da-DK"/>
        </w:rPr>
        <w:t>Background</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16. In 2004, total turnover in the Danish fertilizer market was DKK 1.4 billion, corresponding to EUR187 million.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17. Market conditions have changed profoundly the past 15 years. Consumption of commercial fertilizers in Denmark has decreased by nearly 40 %, owing primarily to an increased awareness of the environmentally damaging side-effects of fertilizer use, and subsequent restrictions implemented in order to reduce consumption.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18. Companies at all levels of the fertilizer industry have gone through a process of increased consolidation and specialization. Much of the previous overcapacity in the industry has been eliminated. At production level, a significant part of the production has been concentrated within a few international companies with large specialized production facilities. Local distribution has been handed over to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companies, which include fertilizers in their product range. Most of </w:t>
      </w:r>
      <w:r w:rsidRPr="00B102F4">
        <w:rPr>
          <w:rFonts w:ascii="Times New Roman" w:eastAsia="Times New Roman" w:hAnsi="Times New Roman" w:cs="Times New Roman"/>
          <w:sz w:val="24"/>
          <w:szCs w:val="24"/>
          <w:lang w:val="en" w:eastAsia="da-DK"/>
        </w:rPr>
        <w:lastRenderedPageBreak/>
        <w:t>these companies are still local/re</w:t>
      </w:r>
      <w:r w:rsidRPr="00B102F4">
        <w:rPr>
          <w:rFonts w:ascii="Times New Roman" w:eastAsia="Times New Roman" w:hAnsi="Times New Roman" w:cs="Times New Roman"/>
          <w:sz w:val="24"/>
          <w:szCs w:val="24"/>
          <w:lang w:val="en" w:eastAsia="da-DK"/>
        </w:rPr>
        <w:softHyphen/>
        <w:t>gio</w:t>
      </w:r>
      <w:r w:rsidRPr="00B102F4">
        <w:rPr>
          <w:rFonts w:ascii="Times New Roman" w:eastAsia="Times New Roman" w:hAnsi="Times New Roman" w:cs="Times New Roman"/>
          <w:sz w:val="24"/>
          <w:szCs w:val="24"/>
          <w:lang w:val="en" w:eastAsia="da-DK"/>
        </w:rPr>
        <w:softHyphen/>
        <w:t xml:space="preserve">nal, but they are spread over larger geographical areas than before. Some are even national and they often cooperate horizontally in the field of international purchases. The development at the distribution level reflects, to a large extent, the agricultural development, </w:t>
      </w:r>
      <w:proofErr w:type="spellStart"/>
      <w:r w:rsidRPr="00B102F4">
        <w:rPr>
          <w:rFonts w:ascii="Times New Roman" w:eastAsia="Times New Roman" w:hAnsi="Times New Roman" w:cs="Times New Roman"/>
          <w:sz w:val="24"/>
          <w:szCs w:val="24"/>
          <w:lang w:val="en" w:eastAsia="da-DK"/>
        </w:rPr>
        <w:t>characterised</w:t>
      </w:r>
      <w:proofErr w:type="spellEnd"/>
      <w:r w:rsidRPr="00B102F4">
        <w:rPr>
          <w:rFonts w:ascii="Times New Roman" w:eastAsia="Times New Roman" w:hAnsi="Times New Roman" w:cs="Times New Roman"/>
          <w:sz w:val="24"/>
          <w:szCs w:val="24"/>
          <w:lang w:val="en" w:eastAsia="da-DK"/>
        </w:rPr>
        <w:t xml:space="preserve"> by increased concentration with fewer and larger units, cf. Table 2.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bookmarkStart w:id="9" w:name="_Ref122759223"/>
      <w:bookmarkEnd w:id="9"/>
      <w:r w:rsidRPr="00B102F4">
        <w:rPr>
          <w:rFonts w:ascii="Times New Roman" w:eastAsia="Times New Roman" w:hAnsi="Times New Roman" w:cs="Times New Roman"/>
          <w:b/>
          <w:bCs/>
          <w:sz w:val="24"/>
          <w:szCs w:val="24"/>
          <w:lang w:val="en" w:eastAsia="da-DK"/>
        </w:rPr>
        <w:t xml:space="preserve">Table 2: The number of </w:t>
      </w:r>
      <w:proofErr w:type="spellStart"/>
      <w:r w:rsidRPr="00B102F4">
        <w:rPr>
          <w:rFonts w:ascii="Times New Roman" w:eastAsia="Times New Roman" w:hAnsi="Times New Roman" w:cs="Times New Roman"/>
          <w:b/>
          <w:bCs/>
          <w:sz w:val="24"/>
          <w:szCs w:val="24"/>
          <w:lang w:val="en" w:eastAsia="da-DK"/>
        </w:rPr>
        <w:t>feedingstuff</w:t>
      </w:r>
      <w:proofErr w:type="spellEnd"/>
      <w:r w:rsidRPr="00B102F4">
        <w:rPr>
          <w:rFonts w:ascii="Times New Roman" w:eastAsia="Times New Roman" w:hAnsi="Times New Roman" w:cs="Times New Roman"/>
          <w:b/>
          <w:bCs/>
          <w:sz w:val="24"/>
          <w:szCs w:val="24"/>
          <w:lang w:val="en" w:eastAsia="da-DK"/>
        </w:rPr>
        <w:t xml:space="preserve"> companies and farms in Denmark</w:t>
      </w:r>
    </w:p>
    <w:tbl>
      <w:tblPr>
        <w:tblW w:w="25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49"/>
        <w:gridCol w:w="780"/>
        <w:gridCol w:w="780"/>
        <w:gridCol w:w="780"/>
        <w:gridCol w:w="780"/>
        <w:gridCol w:w="795"/>
      </w:tblGrid>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1984</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1989</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1994</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1999</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2004</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sz w:val="24"/>
                <w:szCs w:val="24"/>
                <w:lang w:eastAsia="da-DK"/>
              </w:rPr>
              <w:t>Feedingstuff</w:t>
            </w:r>
            <w:proofErr w:type="spellEnd"/>
            <w:r w:rsidRPr="00B102F4">
              <w:rPr>
                <w:rFonts w:ascii="Times New Roman" w:eastAsia="Times New Roman" w:hAnsi="Times New Roman" w:cs="Times New Roman"/>
                <w:sz w:val="24"/>
                <w:szCs w:val="24"/>
                <w:lang w:eastAsia="da-DK"/>
              </w:rPr>
              <w:t xml:space="preserve"> </w:t>
            </w:r>
            <w:proofErr w:type="spellStart"/>
            <w:r w:rsidRPr="00B102F4">
              <w:rPr>
                <w:rFonts w:ascii="Times New Roman" w:eastAsia="Times New Roman" w:hAnsi="Times New Roman" w:cs="Times New Roman"/>
                <w:sz w:val="24"/>
                <w:szCs w:val="24"/>
                <w:lang w:eastAsia="da-DK"/>
              </w:rPr>
              <w:t>companies</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153</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105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88*</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n/a</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Farms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95,300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81,300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69,300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57,800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45,600</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Of </w:t>
            </w:r>
            <w:proofErr w:type="spellStart"/>
            <w:r w:rsidRPr="00B102F4">
              <w:rPr>
                <w:rFonts w:ascii="Times New Roman" w:eastAsia="Times New Roman" w:hAnsi="Times New Roman" w:cs="Times New Roman"/>
                <w:sz w:val="24"/>
                <w:szCs w:val="24"/>
                <w:lang w:eastAsia="da-DK"/>
              </w:rPr>
              <w:t>this</w:t>
            </w:r>
            <w:proofErr w:type="spellEnd"/>
            <w:r w:rsidRPr="00B102F4">
              <w:rPr>
                <w:rFonts w:ascii="Times New Roman" w:eastAsia="Times New Roman" w:hAnsi="Times New Roman" w:cs="Times New Roman"/>
                <w:sz w:val="24"/>
                <w:szCs w:val="24"/>
                <w:lang w:eastAsia="da-DK"/>
              </w:rPr>
              <w:t xml:space="preserve">, </w:t>
            </w:r>
            <w:proofErr w:type="spellStart"/>
            <w:r w:rsidRPr="00B102F4">
              <w:rPr>
                <w:rFonts w:ascii="Times New Roman" w:eastAsia="Times New Roman" w:hAnsi="Times New Roman" w:cs="Times New Roman"/>
                <w:sz w:val="24"/>
                <w:szCs w:val="24"/>
                <w:lang w:eastAsia="da-DK"/>
              </w:rPr>
              <w:t>grain</w:t>
            </w:r>
            <w:proofErr w:type="spellEnd"/>
            <w:r w:rsidRPr="00B102F4">
              <w:rPr>
                <w:rFonts w:ascii="Times New Roman" w:eastAsia="Times New Roman" w:hAnsi="Times New Roman" w:cs="Times New Roman"/>
                <w:sz w:val="24"/>
                <w:szCs w:val="24"/>
                <w:lang w:eastAsia="da-DK"/>
              </w:rPr>
              <w:t xml:space="preserve"> </w:t>
            </w:r>
            <w:proofErr w:type="spellStart"/>
            <w:r w:rsidRPr="00B102F4">
              <w:rPr>
                <w:rFonts w:ascii="Times New Roman" w:eastAsia="Times New Roman" w:hAnsi="Times New Roman" w:cs="Times New Roman"/>
                <w:sz w:val="24"/>
                <w:szCs w:val="24"/>
                <w:lang w:eastAsia="da-DK"/>
              </w:rPr>
              <w:t>growers</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24,100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19,600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18,200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16,700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14,400</w:t>
            </w:r>
          </w:p>
        </w:tc>
      </w:tr>
    </w:tbl>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Source: Statistics Denmark.</w:t>
      </w:r>
      <w:r w:rsidRPr="00B102F4">
        <w:rPr>
          <w:rFonts w:ascii="Times New Roman" w:eastAsia="Times New Roman" w:hAnsi="Times New Roman" w:cs="Times New Roman"/>
          <w:sz w:val="24"/>
          <w:szCs w:val="24"/>
          <w:lang w:val="en" w:eastAsia="da-DK"/>
        </w:rPr>
        <w:br/>
        <w:t xml:space="preserve">* 1992, ** 2001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bookmarkStart w:id="10" w:name="_Ref124844320"/>
      <w:bookmarkEnd w:id="10"/>
      <w:r w:rsidRPr="00B102F4">
        <w:rPr>
          <w:rFonts w:ascii="Times New Roman" w:eastAsia="Times New Roman" w:hAnsi="Times New Roman" w:cs="Times New Roman"/>
          <w:sz w:val="24"/>
          <w:szCs w:val="24"/>
          <w:lang w:val="en" w:eastAsia="da-DK"/>
        </w:rPr>
        <w:t xml:space="preserve">19. This process has also influenced the Danish market. </w:t>
      </w:r>
      <w:proofErr w:type="spellStart"/>
      <w:r w:rsidRPr="00B102F4">
        <w:rPr>
          <w:rFonts w:ascii="Times New Roman" w:eastAsia="Times New Roman" w:hAnsi="Times New Roman" w:cs="Times New Roman"/>
          <w:sz w:val="24"/>
          <w:szCs w:val="24"/>
          <w:lang w:val="en" w:eastAsia="da-DK"/>
        </w:rPr>
        <w:t>Superfos</w:t>
      </w:r>
      <w:proofErr w:type="spellEnd"/>
      <w:r w:rsidRPr="00B102F4">
        <w:rPr>
          <w:rFonts w:ascii="Times New Roman" w:eastAsia="Times New Roman" w:hAnsi="Times New Roman" w:cs="Times New Roman"/>
          <w:sz w:val="24"/>
          <w:szCs w:val="24"/>
          <w:lang w:val="en" w:eastAsia="da-DK"/>
        </w:rPr>
        <w:t xml:space="preserve"> sold its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activities to DLG in 1994, whereas the fertilizer production facility in </w:t>
      </w:r>
      <w:proofErr w:type="spellStart"/>
      <w:r w:rsidRPr="00B102F4">
        <w:rPr>
          <w:rFonts w:ascii="Times New Roman" w:eastAsia="Times New Roman" w:hAnsi="Times New Roman" w:cs="Times New Roman"/>
          <w:sz w:val="24"/>
          <w:szCs w:val="24"/>
          <w:lang w:val="en" w:eastAsia="da-DK"/>
        </w:rPr>
        <w:t>Fredericia</w:t>
      </w:r>
      <w:proofErr w:type="spellEnd"/>
      <w:r w:rsidRPr="00B102F4">
        <w:rPr>
          <w:rFonts w:ascii="Times New Roman" w:eastAsia="Times New Roman" w:hAnsi="Times New Roman" w:cs="Times New Roman"/>
          <w:sz w:val="24"/>
          <w:szCs w:val="24"/>
          <w:lang w:val="en" w:eastAsia="da-DK"/>
        </w:rPr>
        <w:t xml:space="preserve"> was bought by the Finnish company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which entered a long term agreement with DLG lasting until 2001.</w:t>
      </w:r>
      <w:bookmarkStart w:id="11" w:name="_ftnref4"/>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"_ftn4"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w:t>
      </w:r>
      <w:r w:rsidRPr="00B102F4">
        <w:rPr>
          <w:rFonts w:ascii="Times New Roman" w:eastAsia="Times New Roman" w:hAnsi="Times New Roman" w:cs="Times New Roman"/>
          <w:sz w:val="24"/>
          <w:szCs w:val="24"/>
          <w:lang w:val="en" w:eastAsia="da-DK"/>
        </w:rPr>
        <w:fldChar w:fldCharType="end"/>
      </w:r>
      <w:bookmarkEnd w:id="11"/>
      <w:r w:rsidRPr="00B102F4">
        <w:rPr>
          <w:rFonts w:ascii="Times New Roman" w:eastAsia="Times New Roman" w:hAnsi="Times New Roman" w:cs="Times New Roman"/>
          <w:sz w:val="24"/>
          <w:szCs w:val="24"/>
          <w:lang w:val="en" w:eastAsia="da-DK"/>
        </w:rPr>
        <w:t xml:space="preserve"> In 2004,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closed down the production plant but kept a warehouse and a sales company,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GrowHow</w:t>
      </w:r>
      <w:proofErr w:type="spellEnd"/>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20.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(formerly </w:t>
      </w:r>
      <w:proofErr w:type="spellStart"/>
      <w:r w:rsidRPr="00B102F4">
        <w:rPr>
          <w:rFonts w:ascii="Times New Roman" w:eastAsia="Times New Roman" w:hAnsi="Times New Roman" w:cs="Times New Roman"/>
          <w:sz w:val="24"/>
          <w:szCs w:val="24"/>
          <w:lang w:val="en" w:eastAsia="da-DK"/>
        </w:rPr>
        <w:t>Norsk</w:t>
      </w:r>
      <w:proofErr w:type="spellEnd"/>
      <w:r w:rsidRPr="00B102F4">
        <w:rPr>
          <w:rFonts w:ascii="Times New Roman" w:eastAsia="Times New Roman" w:hAnsi="Times New Roman" w:cs="Times New Roman"/>
          <w:sz w:val="24"/>
          <w:szCs w:val="24"/>
          <w:lang w:val="en" w:eastAsia="da-DK"/>
        </w:rPr>
        <w:t xml:space="preserve"> Hydro) had controlling interest in KFK, which was in charge of approximately 20 % of the Danish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market, until 2002 where its stocks were sold to a consortium of 8 Danish companies, among others DLG, </w:t>
      </w:r>
      <w:proofErr w:type="spellStart"/>
      <w:r w:rsidRPr="00B102F4">
        <w:rPr>
          <w:rFonts w:ascii="Times New Roman" w:eastAsia="Times New Roman" w:hAnsi="Times New Roman" w:cs="Times New Roman"/>
          <w:sz w:val="24"/>
          <w:szCs w:val="24"/>
          <w:lang w:val="en" w:eastAsia="da-DK"/>
        </w:rPr>
        <w:t>Hedegaard</w:t>
      </w:r>
      <w:proofErr w:type="spellEnd"/>
      <w:r w:rsidRPr="00B102F4">
        <w:rPr>
          <w:rFonts w:ascii="Times New Roman" w:eastAsia="Times New Roman" w:hAnsi="Times New Roman" w:cs="Times New Roman"/>
          <w:sz w:val="24"/>
          <w:szCs w:val="24"/>
          <w:lang w:val="en" w:eastAsia="da-DK"/>
        </w:rPr>
        <w:t xml:space="preserve"> A/S and </w:t>
      </w:r>
      <w:proofErr w:type="spellStart"/>
      <w:r w:rsidRPr="00B102F4">
        <w:rPr>
          <w:rFonts w:ascii="Times New Roman" w:eastAsia="Times New Roman" w:hAnsi="Times New Roman" w:cs="Times New Roman"/>
          <w:sz w:val="24"/>
          <w:szCs w:val="24"/>
          <w:lang w:val="en" w:eastAsia="da-DK"/>
        </w:rPr>
        <w:t>Brdr</w:t>
      </w:r>
      <w:proofErr w:type="spellEnd"/>
      <w:r w:rsidRPr="00B102F4">
        <w:rPr>
          <w:rFonts w:ascii="Times New Roman" w:eastAsia="Times New Roman" w:hAnsi="Times New Roman" w:cs="Times New Roman"/>
          <w:sz w:val="24"/>
          <w:szCs w:val="24"/>
          <w:lang w:val="en" w:eastAsia="da-DK"/>
        </w:rPr>
        <w:t xml:space="preserve">. Ewers A/S.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kept – parallel to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 a terminal (including a warehouse) in Randers. There has been no close cooperation between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any large player in the Danish market since then.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21. Since 2004, no production of </w:t>
      </w:r>
      <w:proofErr w:type="gramStart"/>
      <w:r w:rsidRPr="00B102F4">
        <w:rPr>
          <w:rFonts w:ascii="Times New Roman" w:eastAsia="Times New Roman" w:hAnsi="Times New Roman" w:cs="Times New Roman"/>
          <w:sz w:val="24"/>
          <w:szCs w:val="24"/>
          <w:lang w:val="en" w:eastAsia="da-DK"/>
        </w:rPr>
        <w:t>fertilizers</w:t>
      </w:r>
      <w:bookmarkStart w:id="12" w:name="_ftnref5"/>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"_ftn5"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[5]</w:t>
      </w:r>
      <w:r w:rsidRPr="00B102F4">
        <w:rPr>
          <w:rFonts w:ascii="Times New Roman" w:eastAsia="Times New Roman" w:hAnsi="Times New Roman" w:cs="Times New Roman"/>
          <w:sz w:val="24"/>
          <w:szCs w:val="24"/>
          <w:lang w:val="en" w:eastAsia="da-DK"/>
        </w:rPr>
        <w:fldChar w:fldCharType="end"/>
      </w:r>
      <w:bookmarkEnd w:id="12"/>
      <w:r w:rsidRPr="00B102F4">
        <w:rPr>
          <w:rFonts w:ascii="Times New Roman" w:eastAsia="Times New Roman" w:hAnsi="Times New Roman" w:cs="Times New Roman"/>
          <w:sz w:val="24"/>
          <w:szCs w:val="24"/>
          <w:lang w:val="en" w:eastAsia="da-DK"/>
        </w:rPr>
        <w:t xml:space="preserve"> has taken place in Denmark. The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companies, which to a large extent are </w:t>
      </w:r>
      <w:proofErr w:type="spellStart"/>
      <w:r w:rsidRPr="00B102F4">
        <w:rPr>
          <w:rFonts w:ascii="Times New Roman" w:eastAsia="Times New Roman" w:hAnsi="Times New Roman" w:cs="Times New Roman"/>
          <w:sz w:val="24"/>
          <w:szCs w:val="24"/>
          <w:lang w:val="en" w:eastAsia="da-DK"/>
        </w:rPr>
        <w:t>organised</w:t>
      </w:r>
      <w:proofErr w:type="spellEnd"/>
      <w:r w:rsidRPr="00B102F4">
        <w:rPr>
          <w:rFonts w:ascii="Times New Roman" w:eastAsia="Times New Roman" w:hAnsi="Times New Roman" w:cs="Times New Roman"/>
          <w:sz w:val="24"/>
          <w:szCs w:val="24"/>
          <w:lang w:val="en" w:eastAsia="da-DK"/>
        </w:rPr>
        <w:t xml:space="preserve"> as farmer co-operatives, have purchased via contracts each year. In order to obtain purchasing discounts, the companies have participated in purchasing groups.</w:t>
      </w:r>
      <w:bookmarkStart w:id="13" w:name="_ftnref6"/>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"_ftn6"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[6]</w:t>
      </w:r>
      <w:r w:rsidRPr="00B102F4">
        <w:rPr>
          <w:rFonts w:ascii="Times New Roman" w:eastAsia="Times New Roman" w:hAnsi="Times New Roman" w:cs="Times New Roman"/>
          <w:sz w:val="24"/>
          <w:szCs w:val="24"/>
          <w:lang w:val="en" w:eastAsia="da-DK"/>
        </w:rPr>
        <w:fldChar w:fldCharType="end"/>
      </w:r>
      <w:bookmarkEnd w:id="13"/>
      <w:r w:rsidRPr="00B102F4">
        <w:rPr>
          <w:rFonts w:ascii="Times New Roman" w:eastAsia="Times New Roman" w:hAnsi="Times New Roman" w:cs="Times New Roman"/>
          <w:sz w:val="24"/>
          <w:szCs w:val="24"/>
          <w:lang w:val="en" w:eastAsia="da-DK"/>
        </w:rPr>
        <w:t xml:space="preserve"> For the past 5-6 years, two main purchasing groups have handled 85-95 % of the import; one consisting of DLG and their partners handles well over half of the commercial fertilizer supply, and the other consisting of Den </w:t>
      </w:r>
      <w:proofErr w:type="spellStart"/>
      <w:r w:rsidRPr="00B102F4">
        <w:rPr>
          <w:rFonts w:ascii="Times New Roman" w:eastAsia="Times New Roman" w:hAnsi="Times New Roman" w:cs="Times New Roman"/>
          <w:sz w:val="24"/>
          <w:szCs w:val="24"/>
          <w:lang w:val="en" w:eastAsia="da-DK"/>
        </w:rPr>
        <w:t>Lokale</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Andel</w:t>
      </w:r>
      <w:proofErr w:type="spellEnd"/>
      <w:r w:rsidRPr="00B102F4">
        <w:rPr>
          <w:rFonts w:ascii="Times New Roman" w:eastAsia="Times New Roman" w:hAnsi="Times New Roman" w:cs="Times New Roman"/>
          <w:sz w:val="24"/>
          <w:szCs w:val="24"/>
          <w:lang w:val="en" w:eastAsia="da-DK"/>
        </w:rPr>
        <w:t xml:space="preserve"> (DLA) handles approximately 1/3 of the supply.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22. Fertilizers are consumed during a short period from March to May, but production takes place in </w:t>
      </w:r>
      <w:proofErr w:type="spellStart"/>
      <w:r w:rsidRPr="00B102F4">
        <w:rPr>
          <w:rFonts w:ascii="Times New Roman" w:eastAsia="Times New Roman" w:hAnsi="Times New Roman" w:cs="Times New Roman"/>
          <w:sz w:val="24"/>
          <w:szCs w:val="24"/>
          <w:lang w:val="en" w:eastAsia="da-DK"/>
        </w:rPr>
        <w:t>specialised</w:t>
      </w:r>
      <w:proofErr w:type="spellEnd"/>
      <w:r w:rsidRPr="00B102F4">
        <w:rPr>
          <w:rFonts w:ascii="Times New Roman" w:eastAsia="Times New Roman" w:hAnsi="Times New Roman" w:cs="Times New Roman"/>
          <w:sz w:val="24"/>
          <w:szCs w:val="24"/>
          <w:lang w:val="en" w:eastAsia="da-DK"/>
        </w:rPr>
        <w:t xml:space="preserve"> facilities, which are based on twenty-four-hour production throughout the year. Producers only keep very small stocks at their production facilities; rather, they offer buyers lower prices just after the end of the growth season, i.e. in June. Prices then tend to increase month by month until they peak next spring. The fertilizer year runs from 1 July to 30 June the following year.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 xml:space="preserve">23.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according to the parties, make it possible to bring about synergies through better planning of purchases and logistics, i.e. a more efficient way of buying and stocking the necessary quantities as close to the end-users (the farmers) as possible.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24. Coincident with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GrowHow</w:t>
      </w:r>
      <w:proofErr w:type="spellEnd"/>
      <w:r w:rsidRPr="00B102F4">
        <w:rPr>
          <w:rFonts w:ascii="Times New Roman" w:eastAsia="Times New Roman" w:hAnsi="Times New Roman" w:cs="Times New Roman"/>
          <w:sz w:val="24"/>
          <w:szCs w:val="24"/>
          <w:lang w:val="en" w:eastAsia="da-DK"/>
        </w:rPr>
        <w:t xml:space="preserve"> and the DLA Group have agreed on setting up a co-operation, named </w:t>
      </w:r>
      <w:proofErr w:type="spellStart"/>
      <w:r w:rsidRPr="00B102F4">
        <w:rPr>
          <w:rFonts w:ascii="Times New Roman" w:eastAsia="Times New Roman" w:hAnsi="Times New Roman" w:cs="Times New Roman"/>
          <w:sz w:val="24"/>
          <w:szCs w:val="24"/>
          <w:lang w:val="en" w:eastAsia="da-DK"/>
        </w:rPr>
        <w:t>AgrowLine</w:t>
      </w:r>
      <w:proofErr w:type="spellEnd"/>
      <w:r w:rsidRPr="00B102F4">
        <w:rPr>
          <w:rFonts w:ascii="Times New Roman" w:eastAsia="Times New Roman" w:hAnsi="Times New Roman" w:cs="Times New Roman"/>
          <w:sz w:val="24"/>
          <w:szCs w:val="24"/>
          <w:lang w:val="en" w:eastAsia="da-DK"/>
        </w:rPr>
        <w:t xml:space="preserve">, similar to that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w:t>
      </w:r>
      <w:bookmarkStart w:id="14" w:name="_ftnref7"/>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"_ftn7"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[7]</w:t>
      </w:r>
      <w:r w:rsidRPr="00B102F4">
        <w:rPr>
          <w:rFonts w:ascii="Times New Roman" w:eastAsia="Times New Roman" w:hAnsi="Times New Roman" w:cs="Times New Roman"/>
          <w:sz w:val="24"/>
          <w:szCs w:val="24"/>
          <w:lang w:val="en" w:eastAsia="da-DK"/>
        </w:rPr>
        <w:fldChar w:fldCharType="end"/>
      </w:r>
      <w:bookmarkEnd w:id="14"/>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15" w:name="_Toc128203453"/>
      <w:bookmarkEnd w:id="15"/>
      <w:r w:rsidRPr="00B102F4">
        <w:rPr>
          <w:rFonts w:ascii="Times New Roman" w:eastAsia="Times New Roman" w:hAnsi="Times New Roman" w:cs="Times New Roman"/>
          <w:b/>
          <w:bCs/>
          <w:sz w:val="27"/>
          <w:szCs w:val="27"/>
          <w:lang w:val="en" w:eastAsia="da-DK"/>
        </w:rPr>
        <w:t xml:space="preserve">The parties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25. </w:t>
      </w:r>
      <w:proofErr w:type="spellStart"/>
      <w:r w:rsidRPr="00B102F4">
        <w:rPr>
          <w:rFonts w:ascii="Times New Roman" w:eastAsia="Times New Roman" w:hAnsi="Times New Roman" w:cs="Times New Roman"/>
          <w:b/>
          <w:bCs/>
          <w:sz w:val="24"/>
          <w:szCs w:val="24"/>
          <w:lang w:val="en" w:eastAsia="da-DK"/>
        </w:rPr>
        <w:t>Yara</w:t>
      </w:r>
      <w:proofErr w:type="spellEnd"/>
      <w:r w:rsidRPr="00B102F4">
        <w:rPr>
          <w:rFonts w:ascii="Times New Roman" w:eastAsia="Times New Roman" w:hAnsi="Times New Roman" w:cs="Times New Roman"/>
          <w:b/>
          <w:bCs/>
          <w:sz w:val="24"/>
          <w:szCs w:val="24"/>
          <w:lang w:val="en" w:eastAsia="da-DK"/>
        </w:rPr>
        <w:t xml:space="preserve"> </w:t>
      </w:r>
      <w:proofErr w:type="spellStart"/>
      <w:r w:rsidRPr="00B102F4">
        <w:rPr>
          <w:rFonts w:ascii="Times New Roman" w:eastAsia="Times New Roman" w:hAnsi="Times New Roman" w:cs="Times New Roman"/>
          <w:b/>
          <w:bCs/>
          <w:sz w:val="24"/>
          <w:szCs w:val="24"/>
          <w:lang w:val="en" w:eastAsia="da-DK"/>
        </w:rPr>
        <w:t>Danmark</w:t>
      </w:r>
      <w:proofErr w:type="spellEnd"/>
      <w:r w:rsidRPr="00B102F4">
        <w:rPr>
          <w:rFonts w:ascii="Times New Roman" w:eastAsia="Times New Roman" w:hAnsi="Times New Roman" w:cs="Times New Roman"/>
          <w:sz w:val="24"/>
          <w:szCs w:val="24"/>
          <w:lang w:val="en" w:eastAsia="da-DK"/>
        </w:rPr>
        <w:t xml:space="preserve"> A/S is a wholly-owned subsidiary of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Holding </w:t>
      </w:r>
      <w:proofErr w:type="spellStart"/>
      <w:r w:rsidRPr="00B102F4">
        <w:rPr>
          <w:rFonts w:ascii="Times New Roman" w:eastAsia="Times New Roman" w:hAnsi="Times New Roman" w:cs="Times New Roman"/>
          <w:sz w:val="24"/>
          <w:szCs w:val="24"/>
          <w:lang w:val="en" w:eastAsia="da-DK"/>
        </w:rPr>
        <w:t>Danmark</w:t>
      </w:r>
      <w:proofErr w:type="spellEnd"/>
      <w:r w:rsidRPr="00B102F4">
        <w:rPr>
          <w:rFonts w:ascii="Times New Roman" w:eastAsia="Times New Roman" w:hAnsi="Times New Roman" w:cs="Times New Roman"/>
          <w:sz w:val="24"/>
          <w:szCs w:val="24"/>
          <w:lang w:val="en" w:eastAsia="da-DK"/>
        </w:rPr>
        <w:t xml:space="preserve"> A/S, the ultimate owner being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International ASA (hereinafter collectively referred to as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 Norwegian publicly traded company listed on the Oslo Stock Exchange.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is the world’s leading producer and marketer of mineral fertilizer. The core operations, internationally, are production and sale of nitrogen-based fertilizers and related industrial products.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also distributes and sells a wide range of phosphate-based and potash-based mineral fertilizers, as well as complex and specialty mineral fertilizer products sourced from third parties. In addition,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markets certain industrial gases and nitrogen chemicals that, in general, are co-products of its fertilizer operations. Currently,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sells its products to all Danish wholesalers.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26. </w:t>
      </w:r>
      <w:r w:rsidRPr="00B102F4">
        <w:rPr>
          <w:rFonts w:ascii="Times New Roman" w:eastAsia="Times New Roman" w:hAnsi="Times New Roman" w:cs="Times New Roman"/>
          <w:b/>
          <w:bCs/>
          <w:sz w:val="24"/>
          <w:szCs w:val="24"/>
          <w:lang w:val="en" w:eastAsia="da-DK"/>
        </w:rPr>
        <w:t xml:space="preserve">Dansk </w:t>
      </w:r>
      <w:proofErr w:type="spellStart"/>
      <w:r w:rsidRPr="00B102F4">
        <w:rPr>
          <w:rFonts w:ascii="Times New Roman" w:eastAsia="Times New Roman" w:hAnsi="Times New Roman" w:cs="Times New Roman"/>
          <w:b/>
          <w:bCs/>
          <w:sz w:val="24"/>
          <w:szCs w:val="24"/>
          <w:lang w:val="en" w:eastAsia="da-DK"/>
        </w:rPr>
        <w:t>Landbrugs</w:t>
      </w:r>
      <w:proofErr w:type="spellEnd"/>
      <w:r w:rsidRPr="00B102F4">
        <w:rPr>
          <w:rFonts w:ascii="Times New Roman" w:eastAsia="Times New Roman" w:hAnsi="Times New Roman" w:cs="Times New Roman"/>
          <w:b/>
          <w:bCs/>
          <w:sz w:val="24"/>
          <w:szCs w:val="24"/>
          <w:lang w:val="en" w:eastAsia="da-DK"/>
        </w:rPr>
        <w:t xml:space="preserve"> </w:t>
      </w:r>
      <w:proofErr w:type="spellStart"/>
      <w:r w:rsidRPr="00B102F4">
        <w:rPr>
          <w:rFonts w:ascii="Times New Roman" w:eastAsia="Times New Roman" w:hAnsi="Times New Roman" w:cs="Times New Roman"/>
          <w:b/>
          <w:bCs/>
          <w:sz w:val="24"/>
          <w:szCs w:val="24"/>
          <w:lang w:val="en" w:eastAsia="da-DK"/>
        </w:rPr>
        <w:t>Grovvareselskab</w:t>
      </w:r>
      <w:proofErr w:type="spellEnd"/>
      <w:r w:rsidRPr="00B102F4">
        <w:rPr>
          <w:rFonts w:ascii="Times New Roman" w:eastAsia="Times New Roman" w:hAnsi="Times New Roman" w:cs="Times New Roman"/>
          <w:b/>
          <w:bCs/>
          <w:sz w:val="24"/>
          <w:szCs w:val="24"/>
          <w:lang w:val="en" w:eastAsia="da-DK"/>
        </w:rPr>
        <w:t xml:space="preserve"> </w:t>
      </w:r>
      <w:proofErr w:type="spellStart"/>
      <w:r w:rsidRPr="00B102F4">
        <w:rPr>
          <w:rFonts w:ascii="Times New Roman" w:eastAsia="Times New Roman" w:hAnsi="Times New Roman" w:cs="Times New Roman"/>
          <w:b/>
          <w:bCs/>
          <w:sz w:val="24"/>
          <w:szCs w:val="24"/>
          <w:lang w:val="en" w:eastAsia="da-DK"/>
        </w:rPr>
        <w:t>A.m.b.A</w:t>
      </w:r>
      <w:proofErr w:type="spellEnd"/>
      <w:r w:rsidRPr="00B102F4">
        <w:rPr>
          <w:rFonts w:ascii="Times New Roman" w:eastAsia="Times New Roman" w:hAnsi="Times New Roman" w:cs="Times New Roman"/>
          <w:b/>
          <w:bCs/>
          <w:sz w:val="24"/>
          <w:szCs w:val="24"/>
          <w:lang w:val="en" w:eastAsia="da-DK"/>
        </w:rPr>
        <w:t>.</w:t>
      </w:r>
      <w:r w:rsidRPr="00B102F4">
        <w:rPr>
          <w:rFonts w:ascii="Times New Roman" w:eastAsia="Times New Roman" w:hAnsi="Times New Roman" w:cs="Times New Roman"/>
          <w:sz w:val="24"/>
          <w:szCs w:val="24"/>
          <w:lang w:val="en" w:eastAsia="da-DK"/>
        </w:rPr>
        <w:t xml:space="preserve"> (hereinafter “DLG”), a cooperative society, has its principal place of business in Denmark and has approximately 25,000 Danish farmers as members. DLG is active in both wholesale and retail in the following sectors: 1) production of feed, including feed compounds; 2) purchase and import of raw materials; 3) purchase of crop, including concept and contract production; 4) purchase and sale of crop protection agents and fertilizers, and 5) processing and sales of agricultural lime. In addition, DLG operates in </w:t>
      </w:r>
      <w:proofErr w:type="spellStart"/>
      <w:r w:rsidRPr="00B102F4">
        <w:rPr>
          <w:rFonts w:ascii="Times New Roman" w:eastAsia="Times New Roman" w:hAnsi="Times New Roman" w:cs="Times New Roman"/>
          <w:sz w:val="24"/>
          <w:szCs w:val="24"/>
          <w:lang w:val="en" w:eastAsia="da-DK"/>
        </w:rPr>
        <w:t>a.o.</w:t>
      </w:r>
      <w:proofErr w:type="spellEnd"/>
      <w:r w:rsidRPr="00B102F4">
        <w:rPr>
          <w:rFonts w:ascii="Times New Roman" w:eastAsia="Times New Roman" w:hAnsi="Times New Roman" w:cs="Times New Roman"/>
          <w:sz w:val="24"/>
          <w:szCs w:val="24"/>
          <w:lang w:val="en" w:eastAsia="da-DK"/>
        </w:rPr>
        <w:t xml:space="preserve"> energy and telecommunications. DLG is participating in a purchase and supply cooperation active at Scandinavian level with regard to fertilizer/crop protection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DLG also owns (together with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33 % of </w:t>
      </w:r>
      <w:proofErr w:type="spellStart"/>
      <w:r w:rsidRPr="00B102F4">
        <w:rPr>
          <w:rFonts w:ascii="Times New Roman" w:eastAsia="Times New Roman" w:hAnsi="Times New Roman" w:cs="Times New Roman"/>
          <w:sz w:val="24"/>
          <w:szCs w:val="24"/>
          <w:lang w:val="en" w:eastAsia="da-DK"/>
        </w:rPr>
        <w:t>DanGødning</w:t>
      </w:r>
      <w:proofErr w:type="spellEnd"/>
      <w:r w:rsidRPr="00B102F4">
        <w:rPr>
          <w:rFonts w:ascii="Times New Roman" w:eastAsia="Times New Roman" w:hAnsi="Times New Roman" w:cs="Times New Roman"/>
          <w:sz w:val="24"/>
          <w:szCs w:val="24"/>
          <w:lang w:val="en" w:eastAsia="da-DK"/>
        </w:rPr>
        <w:t xml:space="preserve">, which is a producer of liquid fertilizers for farming, gardening and sports areas.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27. </w:t>
      </w:r>
      <w:r w:rsidRPr="00B102F4">
        <w:rPr>
          <w:rFonts w:ascii="Times New Roman" w:eastAsia="Times New Roman" w:hAnsi="Times New Roman" w:cs="Times New Roman"/>
          <w:b/>
          <w:bCs/>
          <w:sz w:val="24"/>
          <w:szCs w:val="24"/>
          <w:lang w:val="en" w:eastAsia="da-DK"/>
        </w:rPr>
        <w:t xml:space="preserve">Agro </w:t>
      </w:r>
      <w:proofErr w:type="spellStart"/>
      <w:r w:rsidRPr="00B102F4">
        <w:rPr>
          <w:rFonts w:ascii="Times New Roman" w:eastAsia="Times New Roman" w:hAnsi="Times New Roman" w:cs="Times New Roman"/>
          <w:b/>
          <w:bCs/>
          <w:sz w:val="24"/>
          <w:szCs w:val="24"/>
          <w:lang w:val="en" w:eastAsia="da-DK"/>
        </w:rPr>
        <w:t>Danmark</w:t>
      </w:r>
      <w:proofErr w:type="spellEnd"/>
      <w:r w:rsidRPr="00B102F4">
        <w:rPr>
          <w:rFonts w:ascii="Times New Roman" w:eastAsia="Times New Roman" w:hAnsi="Times New Roman" w:cs="Times New Roman"/>
          <w:b/>
          <w:bCs/>
          <w:sz w:val="24"/>
          <w:szCs w:val="24"/>
          <w:lang w:val="en" w:eastAsia="da-DK"/>
        </w:rPr>
        <w:t xml:space="preserve"> </w:t>
      </w:r>
      <w:proofErr w:type="spellStart"/>
      <w:r w:rsidRPr="00B102F4">
        <w:rPr>
          <w:rFonts w:ascii="Times New Roman" w:eastAsia="Times New Roman" w:hAnsi="Times New Roman" w:cs="Times New Roman"/>
          <w:b/>
          <w:bCs/>
          <w:sz w:val="24"/>
          <w:szCs w:val="24"/>
          <w:lang w:val="en" w:eastAsia="da-DK"/>
        </w:rPr>
        <w:t>A.m.b.A</w:t>
      </w:r>
      <w:proofErr w:type="spellEnd"/>
      <w:r w:rsidRPr="00B102F4">
        <w:rPr>
          <w:rFonts w:ascii="Times New Roman" w:eastAsia="Times New Roman" w:hAnsi="Times New Roman" w:cs="Times New Roman"/>
          <w:sz w:val="24"/>
          <w:szCs w:val="24"/>
          <w:lang w:val="en" w:eastAsia="da-DK"/>
        </w:rPr>
        <w:t>. (hereinafter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 cooperative society, is a Danish wholesale undertaking which purchases and supplies </w:t>
      </w:r>
      <w:proofErr w:type="spellStart"/>
      <w:r w:rsidRPr="00B102F4">
        <w:rPr>
          <w:rFonts w:ascii="Times New Roman" w:eastAsia="Times New Roman" w:hAnsi="Times New Roman" w:cs="Times New Roman"/>
          <w:sz w:val="24"/>
          <w:szCs w:val="24"/>
          <w:lang w:val="en" w:eastAsia="da-DK"/>
        </w:rPr>
        <w:t>feedingstuffs</w:t>
      </w:r>
      <w:proofErr w:type="spellEnd"/>
      <w:r w:rsidRPr="00B102F4">
        <w:rPr>
          <w:rFonts w:ascii="Times New Roman" w:eastAsia="Times New Roman" w:hAnsi="Times New Roman" w:cs="Times New Roman"/>
          <w:sz w:val="24"/>
          <w:szCs w:val="24"/>
          <w:lang w:val="en" w:eastAsia="da-DK"/>
        </w:rPr>
        <w:t>, cereal seeds, fertilizers and crop protection products on behalf of its 9 members</w:t>
      </w:r>
      <w:bookmarkStart w:id="16" w:name="_ftnref8"/>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"_ftn8"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[8]</w:t>
      </w:r>
      <w:r w:rsidRPr="00B102F4">
        <w:rPr>
          <w:rFonts w:ascii="Times New Roman" w:eastAsia="Times New Roman" w:hAnsi="Times New Roman" w:cs="Times New Roman"/>
          <w:sz w:val="24"/>
          <w:szCs w:val="24"/>
          <w:lang w:val="en" w:eastAsia="da-DK"/>
        </w:rPr>
        <w:fldChar w:fldCharType="end"/>
      </w:r>
      <w:bookmarkEnd w:id="16"/>
      <w:r w:rsidRPr="00B102F4">
        <w:rPr>
          <w:rFonts w:ascii="Times New Roman" w:eastAsia="Times New Roman" w:hAnsi="Times New Roman" w:cs="Times New Roman"/>
          <w:sz w:val="24"/>
          <w:szCs w:val="24"/>
          <w:lang w:val="en" w:eastAsia="da-DK"/>
        </w:rPr>
        <w:t xml:space="preserve">, who are all operating within the Danish retail farming sector. The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members are obliged to buy </w:t>
      </w:r>
      <w:proofErr w:type="spellStart"/>
      <w:r w:rsidRPr="00B102F4">
        <w:rPr>
          <w:rFonts w:ascii="Times New Roman" w:eastAsia="Times New Roman" w:hAnsi="Times New Roman" w:cs="Times New Roman"/>
          <w:sz w:val="24"/>
          <w:szCs w:val="24"/>
          <w:lang w:val="en" w:eastAsia="da-DK"/>
        </w:rPr>
        <w:t>a.o.</w:t>
      </w:r>
      <w:proofErr w:type="spellEnd"/>
      <w:r w:rsidRPr="00B102F4">
        <w:rPr>
          <w:rFonts w:ascii="Times New Roman" w:eastAsia="Times New Roman" w:hAnsi="Times New Roman" w:cs="Times New Roman"/>
          <w:sz w:val="24"/>
          <w:szCs w:val="24"/>
          <w:lang w:val="en" w:eastAsia="da-DK"/>
        </w:rPr>
        <w:t xml:space="preserve"> all their supply of fertilizers from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Together with DLG,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takes part in the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purchase and supply cooperation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members own 55 % of </w:t>
      </w:r>
      <w:proofErr w:type="spellStart"/>
      <w:r w:rsidRPr="00B102F4">
        <w:rPr>
          <w:rFonts w:ascii="Times New Roman" w:eastAsia="Times New Roman" w:hAnsi="Times New Roman" w:cs="Times New Roman"/>
          <w:sz w:val="24"/>
          <w:szCs w:val="24"/>
          <w:lang w:val="en" w:eastAsia="da-DK"/>
        </w:rPr>
        <w:t>DanGødning</w:t>
      </w:r>
      <w:proofErr w:type="spellEnd"/>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17" w:name="_Toc128203454"/>
      <w:bookmarkEnd w:id="17"/>
      <w:r w:rsidRPr="00B102F4">
        <w:rPr>
          <w:rFonts w:ascii="Times New Roman" w:eastAsia="Times New Roman" w:hAnsi="Times New Roman" w:cs="Times New Roman"/>
          <w:b/>
          <w:bCs/>
          <w:sz w:val="36"/>
          <w:szCs w:val="36"/>
          <w:lang w:val="en" w:eastAsia="da-DK"/>
        </w:rPr>
        <w:t>Jurisdiction</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18" w:name="_Toc128203455"/>
      <w:bookmarkEnd w:id="18"/>
      <w:r w:rsidRPr="00B102F4">
        <w:rPr>
          <w:rFonts w:ascii="Times New Roman" w:eastAsia="Times New Roman" w:hAnsi="Times New Roman" w:cs="Times New Roman"/>
          <w:b/>
          <w:bCs/>
          <w:sz w:val="27"/>
          <w:szCs w:val="27"/>
          <w:lang w:val="en" w:eastAsia="da-DK"/>
        </w:rPr>
        <w:t>Turnover</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28. The undertakings concerned have a combined aggregate world-wide turnover of more than EUR 5 billion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EUR 5.15 billion, DLG: EUR 1.8 billion,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EUR 42 million). Two have a Community-wide turnover in excess of EUR 250 million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EUR 2.12 billion, DLG: EUR 1.8 billion,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EUR 42 million).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achieve more than two-thirds of their aggregate Community-wide turnover in Denmark. The notified transaction therefore has a Community dimension under Art. 1(2) of the EC Merger </w:t>
      </w:r>
      <w:proofErr w:type="gramStart"/>
      <w:r w:rsidRPr="00B102F4">
        <w:rPr>
          <w:rFonts w:ascii="Times New Roman" w:eastAsia="Times New Roman" w:hAnsi="Times New Roman" w:cs="Times New Roman"/>
          <w:sz w:val="24"/>
          <w:szCs w:val="24"/>
          <w:lang w:val="en" w:eastAsia="da-DK"/>
        </w:rPr>
        <w:t>Regulation</w:t>
      </w:r>
      <w:bookmarkStart w:id="19" w:name="_ftnref9"/>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"_ftn9"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[9]</w:t>
      </w:r>
      <w:r w:rsidRPr="00B102F4">
        <w:rPr>
          <w:rFonts w:ascii="Times New Roman" w:eastAsia="Times New Roman" w:hAnsi="Times New Roman" w:cs="Times New Roman"/>
          <w:sz w:val="24"/>
          <w:szCs w:val="24"/>
          <w:lang w:val="en" w:eastAsia="da-DK"/>
        </w:rPr>
        <w:fldChar w:fldCharType="end"/>
      </w:r>
      <w:bookmarkEnd w:id="19"/>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29. Accordingly, the transaction also meets the turnover thresholds in Section 12 of the Danish Competition Act.</w:t>
      </w:r>
      <w:bookmarkStart w:id="20" w:name="_ftnref10"/>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"_ftn10"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[10]</w:t>
      </w:r>
      <w:r w:rsidRPr="00B102F4">
        <w:rPr>
          <w:rFonts w:ascii="Times New Roman" w:eastAsia="Times New Roman" w:hAnsi="Times New Roman" w:cs="Times New Roman"/>
          <w:sz w:val="24"/>
          <w:szCs w:val="24"/>
          <w:lang w:val="en" w:eastAsia="da-DK"/>
        </w:rPr>
        <w:fldChar w:fldCharType="end"/>
      </w:r>
      <w:bookmarkEnd w:id="20"/>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21" w:name="_Toc128203456"/>
      <w:bookmarkEnd w:id="21"/>
      <w:r w:rsidRPr="00B102F4">
        <w:rPr>
          <w:rFonts w:ascii="Times New Roman" w:eastAsia="Times New Roman" w:hAnsi="Times New Roman" w:cs="Times New Roman"/>
          <w:b/>
          <w:bCs/>
          <w:sz w:val="27"/>
          <w:szCs w:val="27"/>
          <w:lang w:val="en" w:eastAsia="da-DK"/>
        </w:rPr>
        <w:t xml:space="preserve">Referral from the Commission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30. Upon a reasoned submission from the parties pursuant to Article 4(4) of the EC Merger Regulation, the European Commission referred the proposed transaction to the Danish Competition Authority (hereinafter: DCA) for examination and decision in Denmark.</w:t>
      </w:r>
      <w:bookmarkStart w:id="22" w:name="_ftnref11"/>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"_ftn11"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[11]</w:t>
      </w:r>
      <w:r w:rsidRPr="00B102F4">
        <w:rPr>
          <w:rFonts w:ascii="Times New Roman" w:eastAsia="Times New Roman" w:hAnsi="Times New Roman" w:cs="Times New Roman"/>
          <w:sz w:val="24"/>
          <w:szCs w:val="24"/>
          <w:lang w:val="en" w:eastAsia="da-DK"/>
        </w:rPr>
        <w:fldChar w:fldCharType="end"/>
      </w:r>
      <w:bookmarkEnd w:id="22"/>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23" w:name="_Toc128203457"/>
      <w:bookmarkEnd w:id="23"/>
      <w:r w:rsidRPr="00B102F4">
        <w:rPr>
          <w:rFonts w:ascii="Times New Roman" w:eastAsia="Times New Roman" w:hAnsi="Times New Roman" w:cs="Times New Roman"/>
          <w:b/>
          <w:bCs/>
          <w:sz w:val="36"/>
          <w:szCs w:val="36"/>
          <w:lang w:val="en" w:eastAsia="da-DK"/>
        </w:rPr>
        <w:t>The concentration</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24" w:name="_Toc128203458"/>
      <w:bookmarkEnd w:id="24"/>
      <w:r w:rsidRPr="00B102F4">
        <w:rPr>
          <w:rFonts w:ascii="Times New Roman" w:eastAsia="Times New Roman" w:hAnsi="Times New Roman" w:cs="Times New Roman"/>
          <w:b/>
          <w:bCs/>
          <w:sz w:val="27"/>
          <w:szCs w:val="27"/>
          <w:lang w:val="en" w:eastAsia="da-DK"/>
        </w:rPr>
        <w:t>Joint control</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31. The nature of the concentration is the creation of a joint venture between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named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shall act as an independent wholesaler of fertilizers in Denmark.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32. The board of directors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consist of [X] members.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will appoint [X] members each. All material decisions, including, but not limited to, appointment and removal of the board of directors and approval of the budget, are to be adopted by unanimity. The board cannot form a quorum unless one representative of each parent is present at the meeting.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profits shall be divided among the parents [].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33.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thus deemed to be jointly controlled by its parent companies.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25" w:name="_Toc128203459"/>
      <w:bookmarkEnd w:id="25"/>
      <w:r w:rsidRPr="00B102F4">
        <w:rPr>
          <w:rFonts w:ascii="Times New Roman" w:eastAsia="Times New Roman" w:hAnsi="Times New Roman" w:cs="Times New Roman"/>
          <w:b/>
          <w:bCs/>
          <w:sz w:val="27"/>
          <w:szCs w:val="27"/>
          <w:lang w:val="en" w:eastAsia="da-DK"/>
        </w:rPr>
        <w:t>Full function joint venture</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34.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will transfer their logistic activities in the wholesale segment in Denmark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35.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set up to perform all the functions of an autonomous economic entity, with its own management and sufficient resources, and will act independently in the market on a lasting basis.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shall on its own determine and implement strategies concerning purchase, sale to the wholesale market, pricing policy, marketing and logistic and storage systems, i.e.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shall perform all logistics activities and services for distribution of fertilizer products in Denmark from quay to customer (retailer) and has the title and risk for the fertilizers until delivery.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36. Thus, the proposed concentration concerns the establishment of a full-function joint venture within the meaning of Article 3(4) of the EC Merger Regulation. The transaction is a concentration within the meaning of Article 3(1</w:t>
      </w:r>
      <w:proofErr w:type="gramStart"/>
      <w:r w:rsidRPr="00B102F4">
        <w:rPr>
          <w:rFonts w:ascii="Times New Roman" w:eastAsia="Times New Roman" w:hAnsi="Times New Roman" w:cs="Times New Roman"/>
          <w:sz w:val="24"/>
          <w:szCs w:val="24"/>
          <w:lang w:val="en" w:eastAsia="da-DK"/>
        </w:rPr>
        <w:t>)b</w:t>
      </w:r>
      <w:proofErr w:type="gramEnd"/>
      <w:r w:rsidRPr="00B102F4">
        <w:rPr>
          <w:rFonts w:ascii="Times New Roman" w:eastAsia="Times New Roman" w:hAnsi="Times New Roman" w:cs="Times New Roman"/>
          <w:sz w:val="24"/>
          <w:szCs w:val="24"/>
          <w:lang w:val="en" w:eastAsia="da-DK"/>
        </w:rPr>
        <w:t xml:space="preserve"> of the EC Merger Regulation.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37. The transaction is also a concentration within the meaning of Section 12a of the Danish Competition Act, which in this respect mirrors the EC Merger Regulation.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26" w:name="_Toc128203460"/>
      <w:bookmarkEnd w:id="26"/>
      <w:r w:rsidRPr="00B102F4">
        <w:rPr>
          <w:rFonts w:ascii="Times New Roman" w:eastAsia="Times New Roman" w:hAnsi="Times New Roman" w:cs="Times New Roman"/>
          <w:b/>
          <w:bCs/>
          <w:sz w:val="36"/>
          <w:szCs w:val="36"/>
          <w:lang w:val="en" w:eastAsia="da-DK"/>
        </w:rPr>
        <w:t xml:space="preserve">The rationale behind the creation of </w:t>
      </w:r>
      <w:proofErr w:type="spellStart"/>
      <w:r w:rsidRPr="00B102F4">
        <w:rPr>
          <w:rFonts w:ascii="Times New Roman" w:eastAsia="Times New Roman" w:hAnsi="Times New Roman" w:cs="Times New Roman"/>
          <w:b/>
          <w:bCs/>
          <w:sz w:val="36"/>
          <w:szCs w:val="36"/>
          <w:lang w:val="en" w:eastAsia="da-DK"/>
        </w:rPr>
        <w:t>Ferti</w:t>
      </w:r>
      <w:proofErr w:type="spellEnd"/>
      <w:r w:rsidRPr="00B102F4">
        <w:rPr>
          <w:rFonts w:ascii="Times New Roman" w:eastAsia="Times New Roman" w:hAnsi="Times New Roman" w:cs="Times New Roman"/>
          <w:b/>
          <w:bCs/>
          <w:sz w:val="36"/>
          <w:szCs w:val="36"/>
          <w:lang w:val="en" w:eastAsia="da-DK"/>
        </w:rPr>
        <w:t xml:space="preserve"> Supply</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 xml:space="preserve">38. The rationale behind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according to the parties, is to create synergies within the value chain in Denmark, e.g. in the form of scale advantages (joint warehousing and purchasing) and logistic advantages (transportation, sourcing and storage strategies).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39.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have access to a fine-meshed distribution network and will be able to plan and coordinate its purchases better, based on prognoses from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it will, among others, be able to negotiate </w:t>
      </w:r>
      <w:proofErr w:type="spellStart"/>
      <w:r w:rsidRPr="00B102F4">
        <w:rPr>
          <w:rFonts w:ascii="Times New Roman" w:eastAsia="Times New Roman" w:hAnsi="Times New Roman" w:cs="Times New Roman"/>
          <w:sz w:val="24"/>
          <w:szCs w:val="24"/>
          <w:lang w:val="en" w:eastAsia="da-DK"/>
        </w:rPr>
        <w:t>favourable</w:t>
      </w:r>
      <w:proofErr w:type="spellEnd"/>
      <w:r w:rsidRPr="00B102F4">
        <w:rPr>
          <w:rFonts w:ascii="Times New Roman" w:eastAsia="Times New Roman" w:hAnsi="Times New Roman" w:cs="Times New Roman"/>
          <w:sz w:val="24"/>
          <w:szCs w:val="24"/>
          <w:lang w:val="en" w:eastAsia="da-DK"/>
        </w:rPr>
        <w:t xml:space="preserve"> prices because of the considerable quantities that will be purchased; be able to use larger ships and thereby reduce transportation and loading/unloading costs; and have access to more storage facilities scattered throughout the country, which in turn will be more optimally utilized than today.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27" w:name="_Toc128203461"/>
      <w:bookmarkEnd w:id="27"/>
      <w:r w:rsidRPr="00B102F4">
        <w:rPr>
          <w:rFonts w:ascii="Times New Roman" w:eastAsia="Times New Roman" w:hAnsi="Times New Roman" w:cs="Times New Roman"/>
          <w:b/>
          <w:bCs/>
          <w:sz w:val="27"/>
          <w:szCs w:val="27"/>
          <w:lang w:val="en" w:eastAsia="da-DK"/>
        </w:rPr>
        <w:t xml:space="preserve">Agreements in connection with the creation of </w:t>
      </w:r>
      <w:proofErr w:type="spellStart"/>
      <w:r w:rsidRPr="00B102F4">
        <w:rPr>
          <w:rFonts w:ascii="Times New Roman" w:eastAsia="Times New Roman" w:hAnsi="Times New Roman" w:cs="Times New Roman"/>
          <w:b/>
          <w:bCs/>
          <w:sz w:val="27"/>
          <w:szCs w:val="27"/>
          <w:lang w:val="en" w:eastAsia="da-DK"/>
        </w:rPr>
        <w:t>Ferti</w:t>
      </w:r>
      <w:proofErr w:type="spellEnd"/>
      <w:r w:rsidRPr="00B102F4">
        <w:rPr>
          <w:rFonts w:ascii="Times New Roman" w:eastAsia="Times New Roman" w:hAnsi="Times New Roman" w:cs="Times New Roman"/>
          <w:b/>
          <w:bCs/>
          <w:sz w:val="27"/>
          <w:szCs w:val="27"/>
          <w:lang w:val="en" w:eastAsia="da-DK"/>
        </w:rPr>
        <w:t xml:space="preserve"> Supply</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40.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will enter into a purchase/distribution agreement (hereinafter the “</w:t>
      </w:r>
      <w:proofErr w:type="spellStart"/>
      <w:r w:rsidRPr="00B102F4">
        <w:rPr>
          <w:rFonts w:ascii="Times New Roman" w:eastAsia="Times New Roman" w:hAnsi="Times New Roman" w:cs="Times New Roman"/>
          <w:b/>
          <w:bCs/>
          <w:sz w:val="24"/>
          <w:szCs w:val="24"/>
          <w:lang w:val="en" w:eastAsia="da-DK"/>
        </w:rPr>
        <w:t>Yara</w:t>
      </w:r>
      <w:proofErr w:type="spellEnd"/>
      <w:r w:rsidRPr="00B102F4">
        <w:rPr>
          <w:rFonts w:ascii="Times New Roman" w:eastAsia="Times New Roman" w:hAnsi="Times New Roman" w:cs="Times New Roman"/>
          <w:b/>
          <w:bCs/>
          <w:sz w:val="24"/>
          <w:szCs w:val="24"/>
          <w:lang w:val="en" w:eastAsia="da-DK"/>
        </w:rPr>
        <w:t xml:space="preserve"> Agreement</w:t>
      </w:r>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be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exclusive distributor in Denmark of </w:t>
      </w:r>
      <w:proofErr w:type="gramStart"/>
      <w:r w:rsidRPr="00B102F4">
        <w:rPr>
          <w:rFonts w:ascii="Times New Roman" w:eastAsia="Times New Roman" w:hAnsi="Times New Roman" w:cs="Times New Roman"/>
          <w:sz w:val="24"/>
          <w:szCs w:val="24"/>
          <w:lang w:val="en" w:eastAsia="da-DK"/>
        </w:rPr>
        <w:t>all</w:t>
      </w:r>
      <w:bookmarkStart w:id="28" w:name="_ftnref12"/>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"_ftn12"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[12]</w:t>
      </w:r>
      <w:r w:rsidRPr="00B102F4">
        <w:rPr>
          <w:rFonts w:ascii="Times New Roman" w:eastAsia="Times New Roman" w:hAnsi="Times New Roman" w:cs="Times New Roman"/>
          <w:sz w:val="24"/>
          <w:szCs w:val="24"/>
          <w:lang w:val="en" w:eastAsia="da-DK"/>
        </w:rPr>
        <w:fldChar w:fldCharType="end"/>
      </w:r>
      <w:bookmarkEnd w:id="28"/>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products for the first 36 months. During this period,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have a minimum take-or-pay purchase obligation of [X] of its yearly requirements, purchased at special price called “ARA cost price</w:t>
      </w:r>
      <w:proofErr w:type="gramStart"/>
      <w:r w:rsidRPr="00B102F4">
        <w:rPr>
          <w:rFonts w:ascii="Times New Roman" w:eastAsia="Times New Roman" w:hAnsi="Times New Roman" w:cs="Times New Roman"/>
          <w:sz w:val="24"/>
          <w:szCs w:val="24"/>
          <w:lang w:val="en" w:eastAsia="da-DK"/>
        </w:rPr>
        <w:t>”</w:t>
      </w:r>
      <w:bookmarkStart w:id="29" w:name="_ftnref13"/>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"_ftn13"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[13]</w:t>
      </w:r>
      <w:r w:rsidRPr="00B102F4">
        <w:rPr>
          <w:rFonts w:ascii="Times New Roman" w:eastAsia="Times New Roman" w:hAnsi="Times New Roman" w:cs="Times New Roman"/>
          <w:sz w:val="24"/>
          <w:szCs w:val="24"/>
          <w:lang w:val="en" w:eastAsia="da-DK"/>
        </w:rPr>
        <w:fldChar w:fldCharType="end"/>
      </w:r>
      <w:bookmarkEnd w:id="29"/>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has a right to obtain additional [] at “ARA cost price”. The volumes ordered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shall be ordered in good time before each fertilizer year and follow a specific procedure agreed upon between the parties (delivery times, nomination of production capacity and call-off procedures – see more below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43). Additional amounts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are purchased at market price. For additional supplies,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decides to what extent other sources of supply will be used.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41. After the first 3 years,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no longer be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sole distributor in Denmark and will have a right, but no obligation, to buy up to [X] of its requirements []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at “ARA cost price”.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bookmarkStart w:id="30" w:name="_Ref127762672"/>
      <w:bookmarkEnd w:id="30"/>
      <w:r w:rsidRPr="00B102F4">
        <w:rPr>
          <w:rFonts w:ascii="Times New Roman" w:eastAsia="Times New Roman" w:hAnsi="Times New Roman" w:cs="Times New Roman"/>
          <w:sz w:val="24"/>
          <w:szCs w:val="24"/>
          <w:lang w:val="en" w:eastAsia="da-DK"/>
        </w:rPr>
        <w:t xml:space="preserve">42.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the purchasing entity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will enter into a purchase agreement (hereinafter the “</w:t>
      </w:r>
      <w:proofErr w:type="spellStart"/>
      <w:r w:rsidRPr="00B102F4">
        <w:rPr>
          <w:rFonts w:ascii="Times New Roman" w:eastAsia="Times New Roman" w:hAnsi="Times New Roman" w:cs="Times New Roman"/>
          <w:b/>
          <w:bCs/>
          <w:sz w:val="24"/>
          <w:szCs w:val="24"/>
          <w:lang w:val="en" w:eastAsia="da-DK"/>
        </w:rPr>
        <w:t>SweDane</w:t>
      </w:r>
      <w:proofErr w:type="spellEnd"/>
      <w:r w:rsidRPr="00B102F4">
        <w:rPr>
          <w:rFonts w:ascii="Times New Roman" w:eastAsia="Times New Roman" w:hAnsi="Times New Roman" w:cs="Times New Roman"/>
          <w:b/>
          <w:bCs/>
          <w:sz w:val="24"/>
          <w:szCs w:val="24"/>
          <w:lang w:val="en" w:eastAsia="da-DK"/>
        </w:rPr>
        <w:t xml:space="preserve"> Agreement</w:t>
      </w:r>
      <w:r w:rsidRPr="00B102F4">
        <w:rPr>
          <w:rFonts w:ascii="Times New Roman" w:eastAsia="Times New Roman" w:hAnsi="Times New Roman" w:cs="Times New Roman"/>
          <w:sz w:val="24"/>
          <w:szCs w:val="24"/>
          <w:lang w:val="en" w:eastAsia="da-DK"/>
        </w:rPr>
        <w:t xml:space="preserve">”), according to which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may purchase fertilizers via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except certain products. It is agreed that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will act “back-to-back” in the market.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Fertilizer A/S was established by DLG and </w:t>
      </w:r>
      <w:proofErr w:type="spellStart"/>
      <w:r w:rsidRPr="00B102F4">
        <w:rPr>
          <w:rFonts w:ascii="Times New Roman" w:eastAsia="Times New Roman" w:hAnsi="Times New Roman" w:cs="Times New Roman"/>
          <w:sz w:val="24"/>
          <w:szCs w:val="24"/>
          <w:lang w:val="en" w:eastAsia="da-DK"/>
        </w:rPr>
        <w:t>Svenska</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Lantmännen</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SvL</w:t>
      </w:r>
      <w:proofErr w:type="spellEnd"/>
      <w:r w:rsidRPr="00B102F4">
        <w:rPr>
          <w:rFonts w:ascii="Times New Roman" w:eastAsia="Times New Roman" w:hAnsi="Times New Roman" w:cs="Times New Roman"/>
          <w:sz w:val="24"/>
          <w:szCs w:val="24"/>
          <w:lang w:val="en" w:eastAsia="da-DK"/>
        </w:rPr>
        <w:t xml:space="preserve">) in 1997 and is jointly owned by them.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joined the cooperation in July 2000 but holds no shares. The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cooperation functions as a purchasing entity for </w:t>
      </w:r>
      <w:proofErr w:type="spellStart"/>
      <w:r w:rsidRPr="00B102F4">
        <w:rPr>
          <w:rFonts w:ascii="Times New Roman" w:eastAsia="Times New Roman" w:hAnsi="Times New Roman" w:cs="Times New Roman"/>
          <w:sz w:val="24"/>
          <w:szCs w:val="24"/>
          <w:lang w:val="en" w:eastAsia="da-DK"/>
        </w:rPr>
        <w:t>SvL</w:t>
      </w:r>
      <w:proofErr w:type="spellEnd"/>
      <w:r w:rsidRPr="00B102F4">
        <w:rPr>
          <w:rFonts w:ascii="Times New Roman" w:eastAsia="Times New Roman" w:hAnsi="Times New Roman" w:cs="Times New Roman"/>
          <w:sz w:val="24"/>
          <w:szCs w:val="24"/>
          <w:lang w:val="en" w:eastAsia="da-DK"/>
        </w:rPr>
        <w:t xml:space="preserve">,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which have purchased via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exclusively. This exclusivity has, until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been binding on the parties and it can only be terminated with 12 </w:t>
      </w:r>
      <w:proofErr w:type="spellStart"/>
      <w:r w:rsidRPr="00B102F4">
        <w:rPr>
          <w:rFonts w:ascii="Times New Roman" w:eastAsia="Times New Roman" w:hAnsi="Times New Roman" w:cs="Times New Roman"/>
          <w:sz w:val="24"/>
          <w:szCs w:val="24"/>
          <w:lang w:val="en" w:eastAsia="da-DK"/>
        </w:rPr>
        <w:t>months notice</w:t>
      </w:r>
      <w:proofErr w:type="spellEnd"/>
      <w:r w:rsidRPr="00B102F4">
        <w:rPr>
          <w:rFonts w:ascii="Times New Roman" w:eastAsia="Times New Roman" w:hAnsi="Times New Roman" w:cs="Times New Roman"/>
          <w:sz w:val="24"/>
          <w:szCs w:val="24"/>
          <w:lang w:val="en" w:eastAsia="da-DK"/>
        </w:rPr>
        <w:t xml:space="preserve"> to 30 June the following year. Because of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DLG/</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obligation to source exclusively from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will cease to exist and to a certain extent be replaced by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possibility to source via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[] The quantities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purchases from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will be determined following a procedure, where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in April each year shall present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with an estimate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purchase of fertilizer through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for the coming fertilizer year.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has, however, no purchase obligation. The price is </w:t>
      </w:r>
      <w:proofErr w:type="spellStart"/>
      <w:r w:rsidRPr="00B102F4">
        <w:rPr>
          <w:rFonts w:ascii="Times New Roman" w:eastAsia="Times New Roman" w:hAnsi="Times New Roman" w:cs="Times New Roman"/>
          <w:sz w:val="24"/>
          <w:szCs w:val="24"/>
          <w:lang w:val="en" w:eastAsia="da-DK"/>
        </w:rPr>
        <w:t>SweDane’s</w:t>
      </w:r>
      <w:proofErr w:type="spellEnd"/>
      <w:r w:rsidRPr="00B102F4">
        <w:rPr>
          <w:rFonts w:ascii="Times New Roman" w:eastAsia="Times New Roman" w:hAnsi="Times New Roman" w:cs="Times New Roman"/>
          <w:sz w:val="24"/>
          <w:szCs w:val="24"/>
          <w:lang w:val="en" w:eastAsia="da-DK"/>
        </w:rPr>
        <w:t xml:space="preserve"> purchase price plus a fixed contribution pr. ton to cover </w:t>
      </w:r>
      <w:proofErr w:type="spellStart"/>
      <w:r w:rsidRPr="00B102F4">
        <w:rPr>
          <w:rFonts w:ascii="Times New Roman" w:eastAsia="Times New Roman" w:hAnsi="Times New Roman" w:cs="Times New Roman"/>
          <w:sz w:val="24"/>
          <w:szCs w:val="24"/>
          <w:lang w:val="en" w:eastAsia="da-DK"/>
        </w:rPr>
        <w:t>SweDane’s</w:t>
      </w:r>
      <w:proofErr w:type="spellEnd"/>
      <w:r w:rsidRPr="00B102F4">
        <w:rPr>
          <w:rFonts w:ascii="Times New Roman" w:eastAsia="Times New Roman" w:hAnsi="Times New Roman" w:cs="Times New Roman"/>
          <w:sz w:val="24"/>
          <w:szCs w:val="24"/>
          <w:lang w:val="en" w:eastAsia="da-DK"/>
        </w:rPr>
        <w:t xml:space="preserve"> costs. The agreement is non-terminable for the first 36 months, after which period it can be terminated with a notice of 6 months to a 30 June.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43.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purchases will, according to the parties, be organized similarly to the procedures already applied to the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cooperation. The purchasing decisions will be taken by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steering committee consisting of []. Typically,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make an estimate of </w:t>
      </w:r>
      <w:r w:rsidRPr="00B102F4">
        <w:rPr>
          <w:rFonts w:ascii="Times New Roman" w:eastAsia="Times New Roman" w:hAnsi="Times New Roman" w:cs="Times New Roman"/>
          <w:sz w:val="24"/>
          <w:szCs w:val="24"/>
          <w:lang w:val="en" w:eastAsia="da-DK"/>
        </w:rPr>
        <w:lastRenderedPageBreak/>
        <w:t xml:space="preserve">the quantities required for the coming year in May. This estimate will be communicated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but it will not be binding. On the basis of DLG/</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estimates, the steering group will decide which suppliers to approach and how the quantities should be divided amongst the different suppliers. A non-binding estimate will thereafter be negotiated with each supplier, typically in May as well. At the end of each month, the final prices and quantities will be negotiated with the suppliers for delivery the following month.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44.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also enter into delivery agreements with both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(hereinafter the “</w:t>
      </w:r>
      <w:r w:rsidRPr="00B102F4">
        <w:rPr>
          <w:rFonts w:ascii="Times New Roman" w:eastAsia="Times New Roman" w:hAnsi="Times New Roman" w:cs="Times New Roman"/>
          <w:b/>
          <w:bCs/>
          <w:sz w:val="24"/>
          <w:szCs w:val="24"/>
          <w:lang w:val="en" w:eastAsia="da-DK"/>
        </w:rPr>
        <w:t xml:space="preserve">DLG and </w:t>
      </w:r>
      <w:proofErr w:type="spellStart"/>
      <w:r w:rsidRPr="00B102F4">
        <w:rPr>
          <w:rFonts w:ascii="Times New Roman" w:eastAsia="Times New Roman" w:hAnsi="Times New Roman" w:cs="Times New Roman"/>
          <w:b/>
          <w:bCs/>
          <w:sz w:val="24"/>
          <w:szCs w:val="24"/>
          <w:lang w:val="en" w:eastAsia="da-DK"/>
        </w:rPr>
        <w:t>AgroDK</w:t>
      </w:r>
      <w:proofErr w:type="spellEnd"/>
      <w:r w:rsidRPr="00B102F4">
        <w:rPr>
          <w:rFonts w:ascii="Times New Roman" w:eastAsia="Times New Roman" w:hAnsi="Times New Roman" w:cs="Times New Roman"/>
          <w:b/>
          <w:bCs/>
          <w:sz w:val="24"/>
          <w:szCs w:val="24"/>
          <w:lang w:val="en" w:eastAsia="da-DK"/>
        </w:rPr>
        <w:t xml:space="preserve"> Agreements</w:t>
      </w:r>
      <w:r w:rsidRPr="00B102F4">
        <w:rPr>
          <w:rFonts w:ascii="Times New Roman" w:eastAsia="Times New Roman" w:hAnsi="Times New Roman" w:cs="Times New Roman"/>
          <w:sz w:val="24"/>
          <w:szCs w:val="24"/>
          <w:lang w:val="en" w:eastAsia="da-DK"/>
        </w:rPr>
        <w:t xml:space="preserve">”), according to which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shall deliver fertilizer products to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respectively. These agreements are also exclusive and non-terminable for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for the first 36 months, which means that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may not source from other suppliers (including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during this period. Following the expiry of this period, the obligation to source from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exclusively expires, and the agreements can be terminated with a notice of 6 months to a 30 June. The prices set by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to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shall be determined on an ongoing basis by the parties [].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b/>
          <w:bCs/>
          <w:sz w:val="24"/>
          <w:szCs w:val="24"/>
          <w:lang w:val="en" w:eastAsia="da-DK"/>
        </w:rPr>
        <w:t xml:space="preserve">Figure 1: Planned agreements between the parents and </w:t>
      </w:r>
      <w:proofErr w:type="spellStart"/>
      <w:r w:rsidRPr="00B102F4">
        <w:rPr>
          <w:rFonts w:ascii="Times New Roman" w:eastAsia="Times New Roman" w:hAnsi="Times New Roman" w:cs="Times New Roman"/>
          <w:b/>
          <w:bCs/>
          <w:sz w:val="24"/>
          <w:szCs w:val="24"/>
          <w:lang w:val="en" w:eastAsia="da-DK"/>
        </w:rPr>
        <w:t>Ferti</w:t>
      </w:r>
      <w:proofErr w:type="spellEnd"/>
      <w:r w:rsidRPr="00B102F4">
        <w:rPr>
          <w:rFonts w:ascii="Times New Roman" w:eastAsia="Times New Roman" w:hAnsi="Times New Roman" w:cs="Times New Roman"/>
          <w:b/>
          <w:bCs/>
          <w:sz w:val="24"/>
          <w:szCs w:val="24"/>
          <w:lang w:val="en" w:eastAsia="da-DK"/>
        </w:rPr>
        <w:t xml:space="preserve"> Supply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noProof/>
          <w:sz w:val="24"/>
          <w:szCs w:val="24"/>
          <w:lang w:eastAsia="da-DK"/>
        </w:rPr>
        <w:drawing>
          <wp:inline distT="0" distB="0" distL="0" distR="0" wp14:anchorId="14E54F14" wp14:editId="3C1777BA">
            <wp:extent cx="4772025" cy="3333750"/>
            <wp:effectExtent l="0" t="0" r="9525" b="0"/>
            <wp:docPr id="7" name="Billede 7" descr="Figure 1: Planned agreements between the parents and Ferti Supp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lanned agreements between the parents and Ferti Supply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72025" cy="3333750"/>
                    </a:xfrm>
                    <a:prstGeom prst="rect">
                      <a:avLst/>
                    </a:prstGeom>
                    <a:noFill/>
                    <a:ln>
                      <a:noFill/>
                    </a:ln>
                  </pic:spPr>
                </pic:pic>
              </a:graphicData>
            </a:graphic>
          </wp:inline>
        </w:drawing>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31" w:name="_Toc128203462"/>
      <w:bookmarkEnd w:id="31"/>
      <w:r w:rsidRPr="00B102F4">
        <w:rPr>
          <w:rFonts w:ascii="Times New Roman" w:eastAsia="Times New Roman" w:hAnsi="Times New Roman" w:cs="Times New Roman"/>
          <w:b/>
          <w:bCs/>
          <w:sz w:val="36"/>
          <w:szCs w:val="36"/>
          <w:lang w:val="en" w:eastAsia="da-DK"/>
        </w:rPr>
        <w:t>Relevant product markets</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32" w:name="_Toc128203463"/>
      <w:bookmarkEnd w:id="32"/>
      <w:r w:rsidRPr="00B102F4">
        <w:rPr>
          <w:rFonts w:ascii="Times New Roman" w:eastAsia="Times New Roman" w:hAnsi="Times New Roman" w:cs="Times New Roman"/>
          <w:b/>
          <w:bCs/>
          <w:sz w:val="27"/>
          <w:szCs w:val="27"/>
          <w:lang w:val="en" w:eastAsia="da-DK"/>
        </w:rPr>
        <w:t>Fertilizers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45. Fertilizers are either organic (manure etc.) or mineral (obtained through an industrial process) and are typically added during the growth season, i.e. a few months in spring. The three main nutrients added to the soil, through the use of mineral fertilizers, are: nitrogen (N), phosphorus (P) and potassium (K). These may be added either as straight or compound fertilizers. It is not possible </w:t>
      </w:r>
      <w:r w:rsidRPr="00B102F4">
        <w:rPr>
          <w:rFonts w:ascii="Times New Roman" w:eastAsia="Times New Roman" w:hAnsi="Times New Roman" w:cs="Times New Roman"/>
          <w:sz w:val="24"/>
          <w:szCs w:val="24"/>
          <w:lang w:val="en" w:eastAsia="da-DK"/>
        </w:rPr>
        <w:lastRenderedPageBreak/>
        <w:t xml:space="preserve">to completely substitute one type with another, as N, P and K fertilizers each satisfy a specific need for plant growth. In Denmark, N is the most important nutrient.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46. Fertilizers exist as liquid or solid fertilizers. The parties submit that there is full substitutability between liquid and solid fertilizers and between different types of solid fertilizers within the main categories.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47. Solid fertilizers are compressed into grains. They are produced via a synthesis of atmospheric nitrogen and hydrogen manufactured from natural gas, fuel oil or coal. Ammonia makes up the basis for production of nitrogen based fertilizers. Liquid fertilizers are more easily and accurately spread in the fields.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33" w:name="_Toc128203464"/>
      <w:bookmarkEnd w:id="33"/>
      <w:r w:rsidRPr="00B102F4">
        <w:rPr>
          <w:rFonts w:ascii="Times New Roman" w:eastAsia="Times New Roman" w:hAnsi="Times New Roman" w:cs="Times New Roman"/>
          <w:b/>
          <w:bCs/>
          <w:sz w:val="27"/>
          <w:szCs w:val="27"/>
          <w:lang w:val="en" w:eastAsia="da-DK"/>
        </w:rPr>
        <w:t>Demand-side substitutability</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48. On the demand side, solid commercial fertilizers may to a certain extent be substituted in a number of ways. Fundamentally, liquid fertilizers can substitute solid fertilizers. Also, by using liquid fertilizers it is possible to obtain a more accurate dosing, and it takes shorter time for crops to absorb the nutrients. However, there are also disadvantages attached to using liquid fertilizers, as they are more difficult to handle and somewhat more expensive. First of all, liquid fertilizers make heavier demands on the farmer’s storage facilities, as tanks are required for storage. Second of all, liquid and solid fertilizers require different spreading devices. Solid fertilizers require a fertilizer spreader, while liquid fertilizers are applied by use of a sprinkler. This may be the same sprinkler used for the spreading of pesticides. The parties estimate the costs of the required transition to approximately DKK 2,000 (EUR 267) plus 1 hour of work. Today, approximately 5-10 % of fertilizers sold in Denmark are liquid.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49. Besides commercial fertilizers, many farmers use organic fertilizers. Farmers are obliged to dispose of their slurry produce, for instance by adding it to the soil. On a yearly basis, 273,000 tons (</w:t>
      </w:r>
      <w:proofErr w:type="spellStart"/>
      <w:r w:rsidRPr="00B102F4">
        <w:rPr>
          <w:rFonts w:ascii="Times New Roman" w:eastAsia="Times New Roman" w:hAnsi="Times New Roman" w:cs="Times New Roman"/>
          <w:sz w:val="24"/>
          <w:szCs w:val="24"/>
          <w:lang w:val="en" w:eastAsia="da-DK"/>
        </w:rPr>
        <w:t>ex livestock</w:t>
      </w:r>
      <w:proofErr w:type="spellEnd"/>
      <w:r w:rsidRPr="00B102F4">
        <w:rPr>
          <w:rFonts w:ascii="Times New Roman" w:eastAsia="Times New Roman" w:hAnsi="Times New Roman" w:cs="Times New Roman"/>
          <w:sz w:val="24"/>
          <w:szCs w:val="24"/>
          <w:lang w:val="en" w:eastAsia="da-DK"/>
        </w:rPr>
        <w:t xml:space="preserve">) of nitrogen is added to the Danish soil through manure. Organic fertilizers are added into the soil during the growth season of the plants to ensure that nutrients are properly absorbed by the plants and do not trickle down through the soil and pollute subsoil water and surrounding water areas.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50. There is limited substitution between organic and mineral fertilizers. A farmer is not likely to substitute from commercial to organic fertilizers just like that. Such substitution requires first of all access to manure etc. and investments in slurry tanks and spreading devices. Availability of manure etc. within a short distance is limited (unless the farmer has livestock, too). Commercial fertilizers also offer advantages with respect to quality and content. For instance, it is necessary to add </w:t>
      </w:r>
      <w:proofErr w:type="spellStart"/>
      <w:r w:rsidRPr="00B102F4">
        <w:rPr>
          <w:rFonts w:ascii="Times New Roman" w:eastAsia="Times New Roman" w:hAnsi="Times New Roman" w:cs="Times New Roman"/>
          <w:sz w:val="24"/>
          <w:szCs w:val="24"/>
          <w:lang w:val="en" w:eastAsia="da-DK"/>
        </w:rPr>
        <w:t>sulphur</w:t>
      </w:r>
      <w:proofErr w:type="spellEnd"/>
      <w:r w:rsidRPr="00B102F4">
        <w:rPr>
          <w:rFonts w:ascii="Times New Roman" w:eastAsia="Times New Roman" w:hAnsi="Times New Roman" w:cs="Times New Roman"/>
          <w:sz w:val="24"/>
          <w:szCs w:val="24"/>
          <w:lang w:val="en" w:eastAsia="da-DK"/>
        </w:rPr>
        <w:t xml:space="preserve"> to Danish soil, due to decreased emission of </w:t>
      </w:r>
      <w:proofErr w:type="spellStart"/>
      <w:r w:rsidRPr="00B102F4">
        <w:rPr>
          <w:rFonts w:ascii="Times New Roman" w:eastAsia="Times New Roman" w:hAnsi="Times New Roman" w:cs="Times New Roman"/>
          <w:sz w:val="24"/>
          <w:szCs w:val="24"/>
          <w:lang w:val="en" w:eastAsia="da-DK"/>
        </w:rPr>
        <w:t>sulphur</w:t>
      </w:r>
      <w:proofErr w:type="spellEnd"/>
      <w:r w:rsidRPr="00B102F4">
        <w:rPr>
          <w:rFonts w:ascii="Times New Roman" w:eastAsia="Times New Roman" w:hAnsi="Times New Roman" w:cs="Times New Roman"/>
          <w:sz w:val="24"/>
          <w:szCs w:val="24"/>
          <w:lang w:val="en" w:eastAsia="da-DK"/>
        </w:rPr>
        <w:t xml:space="preserve"> dioxide, especially from power plants. In addition, organic fertilizers do not necessarily consist of the ingredients/blend needed; it is easier to achieve a correct dosage of commercial fertilizers for the proper mix. Thus, even though substitution between the two types of fertilizers is technically possible, there are a number of barriers, which means that a farmer is not likely to substitute between commercial and organic fertilizers in response to small price changes and the two constitute separate product markets.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51. The parties submit that there is full substitution between different kinds of fertilizers within the same category, and that there are no specific properties characterizing one producer’s products, which make it unique and non-substitutable. Despite of this, the parties do not exclude the </w:t>
      </w:r>
      <w:r w:rsidRPr="00B102F4">
        <w:rPr>
          <w:rFonts w:ascii="Times New Roman" w:eastAsia="Times New Roman" w:hAnsi="Times New Roman" w:cs="Times New Roman"/>
          <w:sz w:val="24"/>
          <w:szCs w:val="24"/>
          <w:lang w:val="en" w:eastAsia="da-DK"/>
        </w:rPr>
        <w:lastRenderedPageBreak/>
        <w:t xml:space="preserve">possibility that certain end-users may have preferences for products from one producer instead of the other. According to the parties, the effect of such preferences is, however, reduced as most farmers rely on consultants (independent from the producers), when planning their fertilizer purchases.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34" w:name="_Toc128203465"/>
      <w:bookmarkEnd w:id="34"/>
      <w:r w:rsidRPr="00B102F4">
        <w:rPr>
          <w:rFonts w:ascii="Times New Roman" w:eastAsia="Times New Roman" w:hAnsi="Times New Roman" w:cs="Times New Roman"/>
          <w:b/>
          <w:bCs/>
          <w:sz w:val="27"/>
          <w:szCs w:val="27"/>
          <w:lang w:val="en" w:eastAsia="da-DK"/>
        </w:rPr>
        <w:t xml:space="preserve">Supply-side substitutability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52. There may be differences in the quality of fertilizers produced in Eastern and Western European countries respectively. Western European products (e.g.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have traditionally been perceived as being of a superior quality. Some types of fertilizer spreaders cannot be used when spreading low quality fertilizers, amongst other things due to the larger amounts of dust that low quality fertilizers contain.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53. It is – on the production level – safe to assume that producers will not switch production in response to a small and permanent change in relative prices without incurring additional significant costs and risks. However, at the same time, producers having the proper ingredients should readily and easily be able to blend two or more straight fertilizers into any compound fertilizer. On wholesale level, producers may supply all products </w:t>
      </w:r>
      <w:proofErr w:type="gramStart"/>
      <w:r w:rsidRPr="00B102F4">
        <w:rPr>
          <w:rFonts w:ascii="Times New Roman" w:eastAsia="Times New Roman" w:hAnsi="Times New Roman" w:cs="Times New Roman"/>
          <w:sz w:val="24"/>
          <w:szCs w:val="24"/>
          <w:lang w:val="en" w:eastAsia="da-DK"/>
        </w:rPr>
        <w:t>required</w:t>
      </w:r>
      <w:bookmarkStart w:id="35" w:name="_ftnref14"/>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"_ftn14"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[14]</w:t>
      </w:r>
      <w:r w:rsidRPr="00B102F4">
        <w:rPr>
          <w:rFonts w:ascii="Times New Roman" w:eastAsia="Times New Roman" w:hAnsi="Times New Roman" w:cs="Times New Roman"/>
          <w:sz w:val="24"/>
          <w:szCs w:val="24"/>
          <w:lang w:val="en" w:eastAsia="da-DK"/>
        </w:rPr>
        <w:fldChar w:fldCharType="end"/>
      </w:r>
      <w:bookmarkEnd w:id="35"/>
      <w:r w:rsidRPr="00B102F4">
        <w:rPr>
          <w:rFonts w:ascii="Times New Roman" w:eastAsia="Times New Roman" w:hAnsi="Times New Roman" w:cs="Times New Roman"/>
          <w:sz w:val="24"/>
          <w:szCs w:val="24"/>
          <w:lang w:val="en" w:eastAsia="da-DK"/>
        </w:rPr>
        <w:t xml:space="preserve">, either from their own production or as “agents”.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36" w:name="_Toc128203466"/>
      <w:bookmarkEnd w:id="36"/>
      <w:r w:rsidRPr="00B102F4">
        <w:rPr>
          <w:rFonts w:ascii="Times New Roman" w:eastAsia="Times New Roman" w:hAnsi="Times New Roman" w:cs="Times New Roman"/>
          <w:b/>
          <w:bCs/>
          <w:sz w:val="27"/>
          <w:szCs w:val="27"/>
          <w:lang w:val="en" w:eastAsia="da-DK"/>
        </w:rPr>
        <w:t>Preliminary conclusion on the relevant products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54. The parties submit that a precise product definition may be left open, as no particular competition concerns arise in relation to any of the possible narrower product market definitions for fertilizers. On this basis, the parties suggest that the term ‘commercial fertilizers’ is used as the collective term for the relevant product market.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55. In previous cases, the definition of the relevant product markets has been left open by the Commission in all but one decision (Kali und </w:t>
      </w:r>
      <w:proofErr w:type="spellStart"/>
      <w:r w:rsidRPr="00B102F4">
        <w:rPr>
          <w:rFonts w:ascii="Times New Roman" w:eastAsia="Times New Roman" w:hAnsi="Times New Roman" w:cs="Times New Roman"/>
          <w:sz w:val="24"/>
          <w:szCs w:val="24"/>
          <w:lang w:val="en" w:eastAsia="da-DK"/>
        </w:rPr>
        <w:t>Salz</w:t>
      </w:r>
      <w:bookmarkStart w:id="37" w:name="_ftnref15"/>
      <w:proofErr w:type="spell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"_ftn15"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[15]</w:t>
      </w:r>
      <w:r w:rsidRPr="00B102F4">
        <w:rPr>
          <w:rFonts w:ascii="Times New Roman" w:eastAsia="Times New Roman" w:hAnsi="Times New Roman" w:cs="Times New Roman"/>
          <w:sz w:val="24"/>
          <w:szCs w:val="24"/>
          <w:lang w:val="en" w:eastAsia="da-DK"/>
        </w:rPr>
        <w:fldChar w:fldCharType="end"/>
      </w:r>
      <w:bookmarkEnd w:id="37"/>
      <w:r w:rsidRPr="00B102F4">
        <w:rPr>
          <w:rFonts w:ascii="Times New Roman" w:eastAsia="Times New Roman" w:hAnsi="Times New Roman" w:cs="Times New Roman"/>
          <w:sz w:val="24"/>
          <w:szCs w:val="24"/>
          <w:lang w:val="en" w:eastAsia="da-DK"/>
        </w:rPr>
        <w:t>), where the Commission concluded that straight and compound K fertilizers constituted separate product markets.</w:t>
      </w:r>
      <w:bookmarkStart w:id="38" w:name="_ftnref16"/>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"_ftn16"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[16]</w:t>
      </w:r>
      <w:r w:rsidRPr="00B102F4">
        <w:rPr>
          <w:rFonts w:ascii="Times New Roman" w:eastAsia="Times New Roman" w:hAnsi="Times New Roman" w:cs="Times New Roman"/>
          <w:sz w:val="24"/>
          <w:szCs w:val="24"/>
          <w:lang w:val="en" w:eastAsia="da-DK"/>
        </w:rPr>
        <w:fldChar w:fldCharType="end"/>
      </w:r>
      <w:bookmarkEnd w:id="38"/>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56. The DCA has previously, in 2002</w:t>
      </w:r>
      <w:bookmarkStart w:id="39" w:name="_ftnref17"/>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"_ftn17"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[17]</w:t>
      </w:r>
      <w:r w:rsidRPr="00B102F4">
        <w:rPr>
          <w:rFonts w:ascii="Times New Roman" w:eastAsia="Times New Roman" w:hAnsi="Times New Roman" w:cs="Times New Roman"/>
          <w:sz w:val="24"/>
          <w:szCs w:val="24"/>
          <w:lang w:val="en" w:eastAsia="da-DK"/>
        </w:rPr>
        <w:fldChar w:fldCharType="end"/>
      </w:r>
      <w:bookmarkEnd w:id="39"/>
      <w:r w:rsidRPr="00B102F4">
        <w:rPr>
          <w:rFonts w:ascii="Times New Roman" w:eastAsia="Times New Roman" w:hAnsi="Times New Roman" w:cs="Times New Roman"/>
          <w:sz w:val="24"/>
          <w:szCs w:val="24"/>
          <w:lang w:val="en" w:eastAsia="da-DK"/>
        </w:rPr>
        <w:t xml:space="preserve">, left the market definition(s) open, since alternative market definitions would not affect the assessment. There is no reason to define the fertilizer market more narrowly in the present case, neither with respect to the type of nutrient nor the form of the fertilizers, as a more narrow definition of the product market will not influence the competitive assessment. The parties’ market shares within the different groups (N, P and K) do not vary so much as to warrant a different assessment for any of the products, cf. Table 3 below, when assessing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position in the market.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57. In the present case, the precise relevant product market definition is thus left open, comprising the overall market for commercial fertilizers in the value </w:t>
      </w:r>
      <w:proofErr w:type="gramStart"/>
      <w:r w:rsidRPr="00B102F4">
        <w:rPr>
          <w:rFonts w:ascii="Times New Roman" w:eastAsia="Times New Roman" w:hAnsi="Times New Roman" w:cs="Times New Roman"/>
          <w:sz w:val="24"/>
          <w:szCs w:val="24"/>
          <w:lang w:val="en" w:eastAsia="da-DK"/>
        </w:rPr>
        <w:t>chain</w:t>
      </w:r>
      <w:bookmarkStart w:id="40" w:name="_ftnref18"/>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"_ftn18"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[18]</w:t>
      </w:r>
      <w:r w:rsidRPr="00B102F4">
        <w:rPr>
          <w:rFonts w:ascii="Times New Roman" w:eastAsia="Times New Roman" w:hAnsi="Times New Roman" w:cs="Times New Roman"/>
          <w:sz w:val="24"/>
          <w:szCs w:val="24"/>
          <w:lang w:val="en" w:eastAsia="da-DK"/>
        </w:rPr>
        <w:fldChar w:fldCharType="end"/>
      </w:r>
      <w:bookmarkEnd w:id="40"/>
      <w:r w:rsidRPr="00B102F4">
        <w:rPr>
          <w:rFonts w:ascii="Times New Roman" w:eastAsia="Times New Roman" w:hAnsi="Times New Roman" w:cs="Times New Roman"/>
          <w:sz w:val="24"/>
          <w:szCs w:val="24"/>
          <w:lang w:val="en" w:eastAsia="da-DK"/>
        </w:rPr>
        <w:t xml:space="preserve"> from production to consumption, as the assessment would be the same under any alternative market definition.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bookmarkStart w:id="41" w:name="_Ref125257748"/>
      <w:bookmarkEnd w:id="41"/>
      <w:r w:rsidRPr="00B102F4">
        <w:rPr>
          <w:rFonts w:ascii="Times New Roman" w:eastAsia="Times New Roman" w:hAnsi="Times New Roman" w:cs="Times New Roman"/>
          <w:b/>
          <w:bCs/>
          <w:sz w:val="24"/>
          <w:szCs w:val="24"/>
          <w:lang w:val="en" w:eastAsia="da-DK"/>
        </w:rPr>
        <w:t xml:space="preserve">Table 3: DLG, </w:t>
      </w:r>
      <w:proofErr w:type="spellStart"/>
      <w:r w:rsidRPr="00B102F4">
        <w:rPr>
          <w:rFonts w:ascii="Times New Roman" w:eastAsia="Times New Roman" w:hAnsi="Times New Roman" w:cs="Times New Roman"/>
          <w:b/>
          <w:bCs/>
          <w:sz w:val="24"/>
          <w:szCs w:val="24"/>
          <w:lang w:val="en" w:eastAsia="da-DK"/>
        </w:rPr>
        <w:t>AgroDK</w:t>
      </w:r>
      <w:proofErr w:type="spellEnd"/>
      <w:r w:rsidRPr="00B102F4">
        <w:rPr>
          <w:rFonts w:ascii="Times New Roman" w:eastAsia="Times New Roman" w:hAnsi="Times New Roman" w:cs="Times New Roman"/>
          <w:b/>
          <w:bCs/>
          <w:sz w:val="24"/>
          <w:szCs w:val="24"/>
          <w:lang w:val="en" w:eastAsia="da-DK"/>
        </w:rPr>
        <w:t xml:space="preserve"> and </w:t>
      </w:r>
      <w:proofErr w:type="spellStart"/>
      <w:r w:rsidRPr="00B102F4">
        <w:rPr>
          <w:rFonts w:ascii="Times New Roman" w:eastAsia="Times New Roman" w:hAnsi="Times New Roman" w:cs="Times New Roman"/>
          <w:b/>
          <w:bCs/>
          <w:sz w:val="24"/>
          <w:szCs w:val="24"/>
          <w:lang w:val="en" w:eastAsia="da-DK"/>
        </w:rPr>
        <w:t>Ferti</w:t>
      </w:r>
      <w:proofErr w:type="spellEnd"/>
      <w:r w:rsidRPr="00B102F4">
        <w:rPr>
          <w:rFonts w:ascii="Times New Roman" w:eastAsia="Times New Roman" w:hAnsi="Times New Roman" w:cs="Times New Roman"/>
          <w:b/>
          <w:bCs/>
          <w:sz w:val="24"/>
          <w:szCs w:val="24"/>
          <w:lang w:val="en" w:eastAsia="da-DK"/>
        </w:rPr>
        <w:t xml:space="preserve"> Supply’s market shares, 2003/2004</w:t>
      </w:r>
    </w:p>
    <w:tbl>
      <w:tblPr>
        <w:tblW w:w="25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32"/>
        <w:gridCol w:w="670"/>
        <w:gridCol w:w="1000"/>
        <w:gridCol w:w="1392"/>
      </w:tblGrid>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 xml:space="preserve">Type of </w:t>
            </w:r>
            <w:proofErr w:type="spellStart"/>
            <w:r w:rsidRPr="00B102F4">
              <w:rPr>
                <w:rFonts w:ascii="Times New Roman" w:eastAsia="Times New Roman" w:hAnsi="Times New Roman" w:cs="Times New Roman"/>
                <w:b/>
                <w:bCs/>
                <w:sz w:val="24"/>
                <w:szCs w:val="24"/>
                <w:lang w:eastAsia="da-DK"/>
              </w:rPr>
              <w:t>fertilizer</w:t>
            </w:r>
            <w:proofErr w:type="spellEnd"/>
          </w:p>
        </w:tc>
        <w:tc>
          <w:tcPr>
            <w:tcW w:w="0" w:type="auto"/>
            <w:gridSpan w:val="3"/>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 xml:space="preserve">Market </w:t>
            </w:r>
            <w:proofErr w:type="spellStart"/>
            <w:r w:rsidRPr="00B102F4">
              <w:rPr>
                <w:rFonts w:ascii="Times New Roman" w:eastAsia="Times New Roman" w:hAnsi="Times New Roman" w:cs="Times New Roman"/>
                <w:b/>
                <w:bCs/>
                <w:sz w:val="24"/>
                <w:szCs w:val="24"/>
                <w:lang w:eastAsia="da-DK"/>
              </w:rPr>
              <w:t>share</w:t>
            </w:r>
            <w:proofErr w:type="spellEnd"/>
            <w:r w:rsidRPr="00B102F4">
              <w:rPr>
                <w:rFonts w:ascii="Times New Roman" w:eastAsia="Times New Roman" w:hAnsi="Times New Roman" w:cs="Times New Roman"/>
                <w:b/>
                <w:bCs/>
                <w:sz w:val="24"/>
                <w:szCs w:val="24"/>
                <w:lang w:eastAsia="da-DK"/>
              </w:rPr>
              <w:t xml:space="preserve"> - %</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DLG</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AgroDK</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Ferti</w:t>
            </w:r>
            <w:proofErr w:type="spellEnd"/>
            <w:r w:rsidRPr="00B102F4">
              <w:rPr>
                <w:rFonts w:ascii="Times New Roman" w:eastAsia="Times New Roman" w:hAnsi="Times New Roman" w:cs="Times New Roman"/>
                <w:b/>
                <w:bCs/>
                <w:sz w:val="24"/>
                <w:szCs w:val="24"/>
                <w:lang w:eastAsia="da-DK"/>
              </w:rPr>
              <w:t xml:space="preserve"> Supply*</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N</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PK</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NPK, NP and NK</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sz w:val="24"/>
                <w:szCs w:val="24"/>
                <w:lang w:eastAsia="da-DK"/>
              </w:rPr>
              <w:t>Other</w:t>
            </w:r>
            <w:proofErr w:type="spellEnd"/>
            <w:r w:rsidRPr="00B102F4">
              <w:rPr>
                <w:rFonts w:ascii="Times New Roman" w:eastAsia="Times New Roman" w:hAnsi="Times New Roman" w:cs="Times New Roman"/>
                <w:sz w:val="24"/>
                <w:szCs w:val="24"/>
                <w:lang w:eastAsia="da-DK"/>
              </w:rPr>
              <w:t xml:space="preserve"> single </w:t>
            </w:r>
            <w:proofErr w:type="spellStart"/>
            <w:r w:rsidRPr="00B102F4">
              <w:rPr>
                <w:rFonts w:ascii="Times New Roman" w:eastAsia="Times New Roman" w:hAnsi="Times New Roman" w:cs="Times New Roman"/>
                <w:sz w:val="24"/>
                <w:szCs w:val="24"/>
                <w:lang w:eastAsia="da-DK"/>
              </w:rPr>
              <w:t>nutrient</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Total*</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 xml:space="preserve">40-50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 xml:space="preserve">5-15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55-60</w:t>
            </w:r>
          </w:p>
        </w:tc>
      </w:tr>
    </w:tbl>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Source: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and statistics from the Danish Plant Directorate. </w:t>
      </w:r>
      <w:r w:rsidRPr="00B102F4">
        <w:rPr>
          <w:rFonts w:ascii="Times New Roman" w:eastAsia="Times New Roman" w:hAnsi="Times New Roman" w:cs="Times New Roman"/>
          <w:sz w:val="24"/>
          <w:szCs w:val="24"/>
          <w:lang w:val="en" w:eastAsia="da-DK"/>
        </w:rPr>
        <w:br/>
        <w:t xml:space="preserv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market share is pro forma as it did not exist in 2003/2004.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42" w:name="_Toc128203467"/>
      <w:bookmarkEnd w:id="42"/>
      <w:r w:rsidRPr="00B102F4">
        <w:rPr>
          <w:rFonts w:ascii="Times New Roman" w:eastAsia="Times New Roman" w:hAnsi="Times New Roman" w:cs="Times New Roman"/>
          <w:b/>
          <w:bCs/>
          <w:sz w:val="27"/>
          <w:szCs w:val="27"/>
          <w:lang w:val="en" w:eastAsia="da-DK"/>
        </w:rPr>
        <w:t>Consumption in Denmark</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58. Danish soil is, as mentioned, characterized by relatively large additions of </w:t>
      </w:r>
      <w:proofErr w:type="spellStart"/>
      <w:r w:rsidRPr="00B102F4">
        <w:rPr>
          <w:rFonts w:ascii="Times New Roman" w:eastAsia="Times New Roman" w:hAnsi="Times New Roman" w:cs="Times New Roman"/>
          <w:sz w:val="24"/>
          <w:szCs w:val="24"/>
          <w:lang w:val="en" w:eastAsia="da-DK"/>
        </w:rPr>
        <w:t>sulphur</w:t>
      </w:r>
      <w:proofErr w:type="spellEnd"/>
      <w:r w:rsidRPr="00B102F4">
        <w:rPr>
          <w:rFonts w:ascii="Times New Roman" w:eastAsia="Times New Roman" w:hAnsi="Times New Roman" w:cs="Times New Roman"/>
          <w:sz w:val="24"/>
          <w:szCs w:val="24"/>
          <w:lang w:val="en" w:eastAsia="da-DK"/>
        </w:rPr>
        <w:t xml:space="preserve"> being required. However, with respect to N, P and K, Danish soil has no special characteristics, except from legal provisions. The Danish consumption of three of the main nutrients added into the soil, N, P and K, has declined significantly over the past 15 years, as can be seen from Table 4.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59. In total, the use of fertilizers has declined by nearly 40 %, the most significant decrease taking place within the group of P fertilizers. Overall, total consumption of all types of commercial fertilizers in Denmark is 953,000 tons (The N-, P- and K-figures in Table 4 only </w:t>
      </w:r>
      <w:proofErr w:type="gramStart"/>
      <w:r w:rsidRPr="00B102F4">
        <w:rPr>
          <w:rFonts w:ascii="Times New Roman" w:eastAsia="Times New Roman" w:hAnsi="Times New Roman" w:cs="Times New Roman"/>
          <w:sz w:val="24"/>
          <w:szCs w:val="24"/>
          <w:lang w:val="en" w:eastAsia="da-DK"/>
        </w:rPr>
        <w:t>take</w:t>
      </w:r>
      <w:proofErr w:type="gramEnd"/>
      <w:r w:rsidRPr="00B102F4">
        <w:rPr>
          <w:rFonts w:ascii="Times New Roman" w:eastAsia="Times New Roman" w:hAnsi="Times New Roman" w:cs="Times New Roman"/>
          <w:sz w:val="24"/>
          <w:szCs w:val="24"/>
          <w:lang w:val="en" w:eastAsia="da-DK"/>
        </w:rPr>
        <w:t xml:space="preserve"> account of the amount of pure nutrients, while the total quantity also takes account of the various fillers and binding materials used in fertilizer products).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bookmarkStart w:id="43" w:name="_Ref122766835"/>
      <w:bookmarkEnd w:id="43"/>
      <w:r w:rsidRPr="00B102F4">
        <w:rPr>
          <w:rFonts w:ascii="Times New Roman" w:eastAsia="Times New Roman" w:hAnsi="Times New Roman" w:cs="Times New Roman"/>
          <w:b/>
          <w:bCs/>
          <w:sz w:val="24"/>
          <w:szCs w:val="24"/>
          <w:lang w:val="en" w:eastAsia="da-DK"/>
        </w:rPr>
        <w:t>Table 4: Consumption of commercial fertilizers in Denmark</w:t>
      </w:r>
    </w:p>
    <w:tbl>
      <w:tblPr>
        <w:tblW w:w="275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33"/>
        <w:gridCol w:w="1126"/>
        <w:gridCol w:w="1126"/>
        <w:gridCol w:w="1898"/>
      </w:tblGrid>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after="0" w:line="240" w:lineRule="auto"/>
              <w:rPr>
                <w:rFonts w:ascii="Times New Roman" w:eastAsia="Times New Roman" w:hAnsi="Times New Roman" w:cs="Times New Roman"/>
                <w:sz w:val="24"/>
                <w:szCs w:val="24"/>
                <w:lang w:eastAsia="da-DK"/>
              </w:rPr>
            </w:pP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1988/89</w:t>
            </w:r>
            <w:r w:rsidRPr="00B102F4">
              <w:rPr>
                <w:rFonts w:ascii="Times New Roman" w:eastAsia="Times New Roman" w:hAnsi="Times New Roman" w:cs="Times New Roman"/>
                <w:b/>
                <w:bCs/>
                <w:sz w:val="24"/>
                <w:szCs w:val="24"/>
                <w:lang w:eastAsia="da-DK"/>
              </w:rPr>
              <w:br/>
              <w:t>(1,000 tons)</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2003/04</w:t>
            </w:r>
            <w:r w:rsidRPr="00B102F4">
              <w:rPr>
                <w:rFonts w:ascii="Times New Roman" w:eastAsia="Times New Roman" w:hAnsi="Times New Roman" w:cs="Times New Roman"/>
                <w:b/>
                <w:bCs/>
                <w:sz w:val="24"/>
                <w:szCs w:val="24"/>
                <w:lang w:eastAsia="da-DK"/>
              </w:rPr>
              <w:br/>
              <w:t>(1,000 tons)</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Change 1988/89-2003/04</w:t>
            </w:r>
            <w:r w:rsidRPr="00B102F4">
              <w:rPr>
                <w:rFonts w:ascii="Times New Roman" w:eastAsia="Times New Roman" w:hAnsi="Times New Roman" w:cs="Times New Roman"/>
                <w:b/>
                <w:bCs/>
                <w:sz w:val="24"/>
                <w:szCs w:val="24"/>
                <w:lang w:eastAsia="da-DK"/>
              </w:rPr>
              <w:br/>
              <w:t>(%)</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Total </w:t>
            </w:r>
            <w:proofErr w:type="spellStart"/>
            <w:r w:rsidRPr="00B102F4">
              <w:rPr>
                <w:rFonts w:ascii="Times New Roman" w:eastAsia="Times New Roman" w:hAnsi="Times New Roman" w:cs="Times New Roman"/>
                <w:sz w:val="24"/>
                <w:szCs w:val="24"/>
                <w:lang w:eastAsia="da-DK"/>
              </w:rPr>
              <w:t>quantity</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gramStart"/>
            <w:r w:rsidRPr="00B102F4">
              <w:rPr>
                <w:rFonts w:ascii="Times New Roman" w:eastAsia="Times New Roman" w:hAnsi="Times New Roman" w:cs="Times New Roman"/>
                <w:sz w:val="24"/>
                <w:szCs w:val="24"/>
                <w:lang w:eastAsia="da-DK"/>
              </w:rPr>
              <w:t>1,562.7</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953.2</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-39 </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Of </w:t>
            </w:r>
            <w:proofErr w:type="spellStart"/>
            <w:r w:rsidRPr="00B102F4">
              <w:rPr>
                <w:rFonts w:ascii="Times New Roman" w:eastAsia="Times New Roman" w:hAnsi="Times New Roman" w:cs="Times New Roman"/>
                <w:sz w:val="24"/>
                <w:szCs w:val="24"/>
                <w:lang w:eastAsia="da-DK"/>
              </w:rPr>
              <w:t>this</w:t>
            </w:r>
            <w:proofErr w:type="spellEnd"/>
            <w:r w:rsidRPr="00B102F4">
              <w:rPr>
                <w:rFonts w:ascii="Times New Roman" w:eastAsia="Times New Roman" w:hAnsi="Times New Roman" w:cs="Times New Roman"/>
                <w:sz w:val="24"/>
                <w:szCs w:val="24"/>
                <w:lang w:eastAsia="da-DK"/>
              </w:rPr>
              <w:t>:</w:t>
            </w:r>
          </w:p>
        </w:tc>
        <w:tc>
          <w:tcPr>
            <w:tcW w:w="0" w:type="auto"/>
            <w:gridSpan w:val="3"/>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N</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377.0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206.7</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-45 </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P</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40.2</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15.0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-63 </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K</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122.8</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64.1</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-48 </w:t>
            </w:r>
          </w:p>
        </w:tc>
      </w:tr>
    </w:tbl>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Source: The Danish Plant Directorate.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 xml:space="preserve">60. Consumption of fertilizers varies regionally. Regional differences may occur due to differences in the cultivated soil as, for instance, clay can retain larger quantities of nutrients than other types of soil. Furthermore, the amount of livestock in the localities may also cause regional differences in the consumption of fertilizers. In certain locations of Western and Northern Jutland, the concentration of livestock implies that there is no need of additional P or K.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bookmarkStart w:id="44" w:name="_Ref125279451"/>
      <w:bookmarkEnd w:id="44"/>
      <w:r w:rsidRPr="00B102F4">
        <w:rPr>
          <w:rFonts w:ascii="Times New Roman" w:eastAsia="Times New Roman" w:hAnsi="Times New Roman" w:cs="Times New Roman"/>
          <w:b/>
          <w:bCs/>
          <w:sz w:val="24"/>
          <w:szCs w:val="24"/>
          <w:lang w:val="en" w:eastAsia="da-DK"/>
        </w:rPr>
        <w:t>Table 5: Regional consumption of N, P and K, 2003/04</w:t>
      </w:r>
    </w:p>
    <w:tbl>
      <w:tblPr>
        <w:tblW w:w="275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01"/>
        <w:gridCol w:w="900"/>
        <w:gridCol w:w="720"/>
        <w:gridCol w:w="881"/>
        <w:gridCol w:w="1432"/>
      </w:tblGrid>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Tons</w:t>
            </w:r>
          </w:p>
        </w:tc>
        <w:tc>
          <w:tcPr>
            <w:tcW w:w="0" w:type="auto"/>
            <w:tcBorders>
              <w:top w:val="outset" w:sz="6" w:space="0" w:color="auto"/>
              <w:left w:val="outset" w:sz="6" w:space="0" w:color="auto"/>
              <w:bottom w:val="outset" w:sz="6" w:space="0" w:color="auto"/>
              <w:right w:val="outset" w:sz="6" w:space="0" w:color="auto"/>
            </w:tcBorders>
            <w:vAlign w:val="bottom"/>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Share</w:t>
            </w:r>
            <w:proofErr w:type="spellEnd"/>
            <w:r w:rsidRPr="00B102F4">
              <w:rPr>
                <w:rFonts w:ascii="Times New Roman" w:eastAsia="Times New Roman" w:hAnsi="Times New Roman" w:cs="Times New Roman"/>
                <w:b/>
                <w:bCs/>
                <w:sz w:val="24"/>
                <w:szCs w:val="24"/>
                <w:lang w:eastAsia="da-DK"/>
              </w:rPr>
              <w:t xml:space="preserve"> of </w:t>
            </w:r>
            <w:proofErr w:type="gramStart"/>
            <w:r w:rsidRPr="00B102F4">
              <w:rPr>
                <w:rFonts w:ascii="Times New Roman" w:eastAsia="Times New Roman" w:hAnsi="Times New Roman" w:cs="Times New Roman"/>
                <w:b/>
                <w:bCs/>
                <w:sz w:val="24"/>
                <w:szCs w:val="24"/>
                <w:lang w:eastAsia="da-DK"/>
              </w:rPr>
              <w:t>total</w:t>
            </w:r>
            <w:r w:rsidRPr="00B102F4">
              <w:rPr>
                <w:rFonts w:ascii="Times New Roman" w:eastAsia="Times New Roman" w:hAnsi="Times New Roman" w:cs="Times New Roman"/>
                <w:b/>
                <w:bCs/>
                <w:sz w:val="24"/>
                <w:szCs w:val="24"/>
                <w:lang w:eastAsia="da-DK"/>
              </w:rPr>
              <w:br/>
              <w:t>%</w:t>
            </w:r>
            <w:proofErr w:type="gramEnd"/>
          </w:p>
        </w:tc>
        <w:tc>
          <w:tcPr>
            <w:tcW w:w="0" w:type="auto"/>
            <w:tcBorders>
              <w:top w:val="outset" w:sz="6" w:space="0" w:color="auto"/>
              <w:left w:val="outset" w:sz="6" w:space="0" w:color="auto"/>
              <w:bottom w:val="outset" w:sz="6" w:space="0" w:color="auto"/>
              <w:right w:val="outset" w:sz="6" w:space="0" w:color="auto"/>
            </w:tcBorders>
            <w:vAlign w:val="bottom"/>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Kilo/ha</w:t>
            </w:r>
          </w:p>
        </w:tc>
        <w:tc>
          <w:tcPr>
            <w:tcW w:w="0" w:type="auto"/>
            <w:tcBorders>
              <w:top w:val="outset" w:sz="6" w:space="0" w:color="auto"/>
              <w:left w:val="outset" w:sz="6" w:space="0" w:color="auto"/>
              <w:bottom w:val="outset" w:sz="6" w:space="0" w:color="auto"/>
              <w:right w:val="outset" w:sz="6" w:space="0" w:color="auto"/>
            </w:tcBorders>
            <w:vAlign w:val="bottom"/>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 xml:space="preserve">Index DK </w:t>
            </w:r>
            <w:r w:rsidRPr="00B102F4">
              <w:rPr>
                <w:rFonts w:ascii="Times New Roman" w:eastAsia="Times New Roman" w:hAnsi="Times New Roman" w:cs="Times New Roman"/>
                <w:b/>
                <w:bCs/>
                <w:sz w:val="24"/>
                <w:szCs w:val="24"/>
                <w:lang w:eastAsia="da-DK"/>
              </w:rPr>
              <w:br/>
              <w:t>average=100</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Zealand/Lolland-Falster/</w:t>
            </w:r>
            <w:proofErr w:type="spellStart"/>
            <w:r w:rsidRPr="00B102F4">
              <w:rPr>
                <w:rFonts w:ascii="Times New Roman" w:eastAsia="Times New Roman" w:hAnsi="Times New Roman" w:cs="Times New Roman"/>
                <w:sz w:val="24"/>
                <w:szCs w:val="24"/>
                <w:lang w:eastAsia="da-DK"/>
              </w:rPr>
              <w:t>Moen</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81,391</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28.5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150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139</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Bornholm</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3,208</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96</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89</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sz w:val="24"/>
                <w:szCs w:val="24"/>
                <w:lang w:eastAsia="da-DK"/>
              </w:rPr>
              <w:t>Funen</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25,063</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8.8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110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102</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Northern </w:t>
            </w:r>
            <w:proofErr w:type="spellStart"/>
            <w:r w:rsidRPr="00B102F4">
              <w:rPr>
                <w:rFonts w:ascii="Times New Roman" w:eastAsia="Times New Roman" w:hAnsi="Times New Roman" w:cs="Times New Roman"/>
                <w:sz w:val="24"/>
                <w:szCs w:val="24"/>
                <w:lang w:eastAsia="da-DK"/>
              </w:rPr>
              <w:t>Jutland</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55,498</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19.4</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87</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81</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Western </w:t>
            </w:r>
            <w:proofErr w:type="spellStart"/>
            <w:r w:rsidRPr="00B102F4">
              <w:rPr>
                <w:rFonts w:ascii="Times New Roman" w:eastAsia="Times New Roman" w:hAnsi="Times New Roman" w:cs="Times New Roman"/>
                <w:sz w:val="24"/>
                <w:szCs w:val="24"/>
                <w:lang w:eastAsia="da-DK"/>
              </w:rPr>
              <w:t>Jutland</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51,896</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18.2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106</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98</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Eastern </w:t>
            </w:r>
            <w:proofErr w:type="spellStart"/>
            <w:r w:rsidRPr="00B102F4">
              <w:rPr>
                <w:rFonts w:ascii="Times New Roman" w:eastAsia="Times New Roman" w:hAnsi="Times New Roman" w:cs="Times New Roman"/>
                <w:sz w:val="24"/>
                <w:szCs w:val="24"/>
                <w:lang w:eastAsia="da-DK"/>
              </w:rPr>
              <w:t>Jutland</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46,096</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16.1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103</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95</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Southern </w:t>
            </w:r>
            <w:proofErr w:type="spellStart"/>
            <w:r w:rsidRPr="00B102F4">
              <w:rPr>
                <w:rFonts w:ascii="Times New Roman" w:eastAsia="Times New Roman" w:hAnsi="Times New Roman" w:cs="Times New Roman"/>
                <w:sz w:val="24"/>
                <w:szCs w:val="24"/>
                <w:lang w:eastAsia="da-DK"/>
              </w:rPr>
              <w:t>Jutland</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22,697</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7.9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82</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76</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Total</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285,849</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100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108</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100</w:t>
            </w:r>
          </w:p>
        </w:tc>
      </w:tr>
    </w:tbl>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Source: The Danish Plant Directorate.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bookmarkStart w:id="45" w:name="OLE_LINK1"/>
      <w:bookmarkEnd w:id="45"/>
      <w:r w:rsidRPr="00B102F4">
        <w:rPr>
          <w:rFonts w:ascii="Times New Roman" w:eastAsia="Times New Roman" w:hAnsi="Times New Roman" w:cs="Times New Roman"/>
          <w:sz w:val="24"/>
          <w:szCs w:val="24"/>
          <w:lang w:val="en" w:eastAsia="da-DK"/>
        </w:rPr>
        <w:t xml:space="preserve">61. Fertilizers are seasonal products. Typically, producers and purchasers, before the start of the fertilizer year, negotiate yearly volumes; exact amounts and prices are determined on a monthly basis. Production takes place throughout the year at a stable level, cf. Figure 2. Sales to wholesalers peak in September/October [], while retailers buy most of their fertilizers during October/November. End-users purchase the main part of their fertilizers in December/January []. The products are typically delivered at a later point in time when farmers find it most convenient. Consumption takes place from March to 15 May and peaks in April.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bookmarkStart w:id="46" w:name="_Ref124044093"/>
      <w:bookmarkEnd w:id="46"/>
      <w:r w:rsidRPr="00B102F4">
        <w:rPr>
          <w:rFonts w:ascii="Times New Roman" w:eastAsia="Times New Roman" w:hAnsi="Times New Roman" w:cs="Times New Roman"/>
          <w:sz w:val="24"/>
          <w:szCs w:val="24"/>
          <w:lang w:val="en" w:eastAsia="da-DK"/>
        </w:rPr>
        <w:t xml:space="preserve">Figure 2: The fertilizer cycle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noProof/>
          <w:sz w:val="24"/>
          <w:szCs w:val="24"/>
          <w:lang w:eastAsia="da-DK"/>
        </w:rPr>
        <w:lastRenderedPageBreak/>
        <w:drawing>
          <wp:inline distT="0" distB="0" distL="0" distR="0" wp14:anchorId="2DA8A4A3" wp14:editId="39C0C001">
            <wp:extent cx="4695825" cy="3629025"/>
            <wp:effectExtent l="0" t="0" r="0" b="9525"/>
            <wp:docPr id="6" name="Billede 6" descr="Figure 2: The fertilizer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The fertilizer cycl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95825" cy="3629025"/>
                    </a:xfrm>
                    <a:prstGeom prst="rect">
                      <a:avLst/>
                    </a:prstGeom>
                    <a:noFill/>
                    <a:ln>
                      <a:noFill/>
                    </a:ln>
                  </pic:spPr>
                </pic:pic>
              </a:graphicData>
            </a:graphic>
          </wp:inline>
        </w:drawing>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62. The fertilizer cycle may be influenced by (expectations of large) price increases or new distribution methods/storage systems. It is not only prices on fertilizers which may influence the buying cycle. Farmers and retailers may use the same storage capacity for grain and for fertilizers. Thus, often fertilizer cannot be stored until after the harvest has been disposed of.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63. Normally, prices increase throughout the fertilizer year depending on supply/demand and energy prices.</w:t>
      </w:r>
      <w:bookmarkStart w:id="47" w:name="_ftnref19"/>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"_ftn19"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[19]</w:t>
      </w:r>
      <w:r w:rsidRPr="00B102F4">
        <w:rPr>
          <w:rFonts w:ascii="Times New Roman" w:eastAsia="Times New Roman" w:hAnsi="Times New Roman" w:cs="Times New Roman"/>
          <w:sz w:val="24"/>
          <w:szCs w:val="24"/>
          <w:lang w:val="en" w:eastAsia="da-DK"/>
        </w:rPr>
        <w:fldChar w:fldCharType="end"/>
      </w:r>
      <w:bookmarkEnd w:id="47"/>
      <w:r w:rsidRPr="00B102F4">
        <w:rPr>
          <w:rFonts w:ascii="Times New Roman" w:eastAsia="Times New Roman" w:hAnsi="Times New Roman" w:cs="Times New Roman"/>
          <w:sz w:val="24"/>
          <w:szCs w:val="24"/>
          <w:lang w:val="en" w:eastAsia="da-DK"/>
        </w:rPr>
        <w:t xml:space="preserve"> In the summer, prices are often low as producers try to induce wholesalers to buy their products early 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64. Fertilizers are traditionally handled in bulk. This requires large storage facilities as different kinds of fertilizers cannot be mixed. The increased use of big bags (bags of 650 or 1,000 kg) in the distribution from wholesale/retail to farmers may, however, change this pattern. As big bags makes storing fertilizers easier, it has become possible for wholesalers, retailers and end-users to purchase the products at an earlier point in time, increasing the possibilities of buying when prices are low. Also, big bags make it possible for farmers to store more types of fertilizers in the same place and save warehouse rent. Today, approximately 30 % of the fertilizers </w:t>
      </w:r>
      <w:proofErr w:type="gramStart"/>
      <w:r w:rsidRPr="00B102F4">
        <w:rPr>
          <w:rFonts w:ascii="Times New Roman" w:eastAsia="Times New Roman" w:hAnsi="Times New Roman" w:cs="Times New Roman"/>
          <w:sz w:val="24"/>
          <w:szCs w:val="24"/>
          <w:lang w:val="en" w:eastAsia="da-DK"/>
        </w:rPr>
        <w:t>is</w:t>
      </w:r>
      <w:proofErr w:type="gramEnd"/>
      <w:r w:rsidRPr="00B102F4">
        <w:rPr>
          <w:rFonts w:ascii="Times New Roman" w:eastAsia="Times New Roman" w:hAnsi="Times New Roman" w:cs="Times New Roman"/>
          <w:sz w:val="24"/>
          <w:szCs w:val="24"/>
          <w:lang w:val="en" w:eastAsia="da-DK"/>
        </w:rPr>
        <w:t xml:space="preserve"> sold in big bags.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65. The fertilizer market is, according to the parties, not a market characterized by intense product development. Most products are identical to the products that were on the market 70-80 years ago. Innovation is therefore primarily concentrated around varieties in the physical form of the products. Some producers market special profiling and niche products. The parties submit that such products make up an insignificant part of the total turnover (less than 7 %).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 xml:space="preserve">66. Demand for fertilizers changes very little in response to a general price increase, i.e. demand elasticity is low. This is further supported by the fact that the season is very short. However, purchasers in all segments of the fertilizer market are quite price-conscious. Generally, producers, wholesalers and end-users agree that even a price increase of less than 5 % will cause purchasers in all parts of the value chain to change </w:t>
      </w:r>
      <w:proofErr w:type="spellStart"/>
      <w:r w:rsidRPr="00B102F4">
        <w:rPr>
          <w:rFonts w:ascii="Times New Roman" w:eastAsia="Times New Roman" w:hAnsi="Times New Roman" w:cs="Times New Roman"/>
          <w:sz w:val="24"/>
          <w:szCs w:val="24"/>
          <w:lang w:val="en" w:eastAsia="da-DK"/>
        </w:rPr>
        <w:t>suppli</w:t>
      </w:r>
      <w:proofErr w:type="spellEnd"/>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48" w:name="_Toc128203468"/>
      <w:bookmarkEnd w:id="48"/>
      <w:r w:rsidRPr="00B102F4">
        <w:rPr>
          <w:rFonts w:ascii="Times New Roman" w:eastAsia="Times New Roman" w:hAnsi="Times New Roman" w:cs="Times New Roman"/>
          <w:b/>
          <w:bCs/>
          <w:sz w:val="27"/>
          <w:szCs w:val="27"/>
          <w:lang w:val="en" w:eastAsia="da-DK"/>
        </w:rPr>
        <w:t>Legislation</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67. When consumption of fertilizers has decreased, as shown in Table 4, it is, among other things, due to the use of fertilizers being subject to a number of laws and regulations in Denmark and the EU. Most of these have been introduced and tightened in recent years. Laws and regulations regarding fertilizers are required, because addition of fertilizers may have negative effects on the environment. Often, a share of the nutrients added is not absorbed by the plants and, therefore, trickle down to the subsoil water. High concentrations of some nutrients, nitrogen and phosphorus for instance, may thereby cause environmental problems such as water pollution.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68. Regulation (EC) No 2003/2003</w:t>
      </w:r>
      <w:bookmarkStart w:id="49" w:name="_ftnref20"/>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"_ftn20"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[20]</w:t>
      </w:r>
      <w:r w:rsidRPr="00B102F4">
        <w:rPr>
          <w:rFonts w:ascii="Times New Roman" w:eastAsia="Times New Roman" w:hAnsi="Times New Roman" w:cs="Times New Roman"/>
          <w:sz w:val="24"/>
          <w:szCs w:val="24"/>
          <w:lang w:val="en" w:eastAsia="da-DK"/>
        </w:rPr>
        <w:fldChar w:fldCharType="end"/>
      </w:r>
      <w:bookmarkEnd w:id="49"/>
      <w:r w:rsidRPr="00B102F4">
        <w:rPr>
          <w:rFonts w:ascii="Times New Roman" w:eastAsia="Times New Roman" w:hAnsi="Times New Roman" w:cs="Times New Roman"/>
          <w:sz w:val="24"/>
          <w:szCs w:val="24"/>
          <w:lang w:val="en" w:eastAsia="da-DK"/>
        </w:rPr>
        <w:t xml:space="preserve"> lays down the rules for fertilizer producers, and how they must ensure identification, traceability and information on the content of the fertilizers through </w:t>
      </w:r>
      <w:proofErr w:type="spellStart"/>
      <w:r w:rsidRPr="00B102F4">
        <w:rPr>
          <w:rFonts w:ascii="Times New Roman" w:eastAsia="Times New Roman" w:hAnsi="Times New Roman" w:cs="Times New Roman"/>
          <w:sz w:val="24"/>
          <w:szCs w:val="24"/>
          <w:lang w:val="en" w:eastAsia="da-DK"/>
        </w:rPr>
        <w:t>labelling</w:t>
      </w:r>
      <w:proofErr w:type="spellEnd"/>
      <w:r w:rsidRPr="00B102F4">
        <w:rPr>
          <w:rFonts w:ascii="Times New Roman" w:eastAsia="Times New Roman" w:hAnsi="Times New Roman" w:cs="Times New Roman"/>
          <w:sz w:val="24"/>
          <w:szCs w:val="24"/>
          <w:lang w:val="en" w:eastAsia="da-DK"/>
        </w:rPr>
        <w:t xml:space="preserve"> and records of origin.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69. Next, there are rules regarding storage facilities.</w:t>
      </w:r>
      <w:bookmarkStart w:id="50" w:name="_ftnref21"/>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"_ftn21"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[21]</w:t>
      </w:r>
      <w:r w:rsidRPr="00B102F4">
        <w:rPr>
          <w:rFonts w:ascii="Times New Roman" w:eastAsia="Times New Roman" w:hAnsi="Times New Roman" w:cs="Times New Roman"/>
          <w:sz w:val="24"/>
          <w:szCs w:val="24"/>
          <w:lang w:val="en" w:eastAsia="da-DK"/>
        </w:rPr>
        <w:fldChar w:fldCharType="end"/>
      </w:r>
      <w:bookmarkEnd w:id="50"/>
      <w:r w:rsidRPr="00B102F4">
        <w:rPr>
          <w:rFonts w:ascii="Times New Roman" w:eastAsia="Times New Roman" w:hAnsi="Times New Roman" w:cs="Times New Roman"/>
          <w:sz w:val="24"/>
          <w:szCs w:val="24"/>
          <w:lang w:val="en" w:eastAsia="da-DK"/>
        </w:rPr>
        <w:t xml:space="preserve"> Nitrogen based fertilizers often contain nitrate which generates hazardous gasses when heated. Therefore, it is not allowed to store fertilizers near inflammable materials.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70. A number of Danish laws lay down rules regarding use of fertilizers with the intention of reducing the washout of nitrogen.</w:t>
      </w:r>
      <w:bookmarkStart w:id="51" w:name="_ftnref22"/>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"_ftn22"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[22]</w:t>
      </w:r>
      <w:r w:rsidRPr="00B102F4">
        <w:rPr>
          <w:rFonts w:ascii="Times New Roman" w:eastAsia="Times New Roman" w:hAnsi="Times New Roman" w:cs="Times New Roman"/>
          <w:sz w:val="24"/>
          <w:szCs w:val="24"/>
          <w:lang w:val="en" w:eastAsia="da-DK"/>
        </w:rPr>
        <w:fldChar w:fldCharType="end"/>
      </w:r>
      <w:bookmarkEnd w:id="51"/>
      <w:r w:rsidRPr="00B102F4">
        <w:rPr>
          <w:rFonts w:ascii="Times New Roman" w:eastAsia="Times New Roman" w:hAnsi="Times New Roman" w:cs="Times New Roman"/>
          <w:sz w:val="24"/>
          <w:szCs w:val="24"/>
          <w:lang w:val="en" w:eastAsia="da-DK"/>
        </w:rPr>
        <w:t xml:space="preserve"> These laws, among other things, clarify how nitrogen quotas are calculated for farmers. Each year farmers are obliged to work out a fertilizer plan. This plan is similar to a budget for the use of nitrogen in the agriculture, and contains a calculation of the amount of nitrogen each farmer is allowed to add to his soil, combined with an estimate of how much nitrogen the farmer expects to use. Typically, farmers receive guidance by agricultural consultants in connection with calculation of nitrogen quotas. If a farmer exceeds his nitrogen quota, a fine, based on the extent of the infringement measured in kg nitrogen and kg nitrogen per hectare, will be imposed.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71. In continuation of the fertilizer plan, farmers have been obliged to submit a fertilizer account to the Danish Plant Directorate each year since 1993/94. This account shows whether the farmer has used too much fertilizer on his farm, and it has been introduced as a means to reducing the amount of nitrogen added into the Danish soil.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72. The parties estimate that rules regarding fertilizer planning and accounts do not significantly affect the purchase pattern of end-users; the plans and accounts merely provide the framework within which the farmers operate.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52" w:name="_Toc128203469"/>
      <w:bookmarkEnd w:id="52"/>
      <w:r w:rsidRPr="00B102F4">
        <w:rPr>
          <w:rFonts w:ascii="Times New Roman" w:eastAsia="Times New Roman" w:hAnsi="Times New Roman" w:cs="Times New Roman"/>
          <w:b/>
          <w:bCs/>
          <w:sz w:val="27"/>
          <w:szCs w:val="27"/>
          <w:lang w:val="en" w:eastAsia="da-DK"/>
        </w:rPr>
        <w:t>The value chain</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73. The production and distribution of fertilizers can be described in three steps (production, wholesale and retail) and in each of these three steps value is added to the products. Up until today, no true wholesale level existed in Denmark and wholesale activities were scattered.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and </w:t>
      </w:r>
      <w:r w:rsidRPr="00B102F4">
        <w:rPr>
          <w:rFonts w:ascii="Times New Roman" w:eastAsia="Times New Roman" w:hAnsi="Times New Roman" w:cs="Times New Roman"/>
          <w:sz w:val="24"/>
          <w:szCs w:val="24"/>
          <w:lang w:val="en" w:eastAsia="da-DK"/>
        </w:rPr>
        <w:lastRenderedPageBreak/>
        <w:t xml:space="preserve">DLA acted as intermediaries and negotiated with producers on the basis of estimates from retailers. The cargoes were bought by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companies (retailers) and stored in their own warehouses. Some companies, notably DLG, sold some fertilizers on a wholesale basis to retailers (mostly members of DLG), but this had no significant extent.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however, introduces a significantly </w:t>
      </w:r>
      <w:proofErr w:type="spellStart"/>
      <w:r w:rsidRPr="00B102F4">
        <w:rPr>
          <w:rFonts w:ascii="Times New Roman" w:eastAsia="Times New Roman" w:hAnsi="Times New Roman" w:cs="Times New Roman"/>
          <w:sz w:val="24"/>
          <w:szCs w:val="24"/>
          <w:lang w:val="en" w:eastAsia="da-DK"/>
        </w:rPr>
        <w:t>specialised</w:t>
      </w:r>
      <w:proofErr w:type="spellEnd"/>
      <w:r w:rsidRPr="00B102F4">
        <w:rPr>
          <w:rFonts w:ascii="Times New Roman" w:eastAsia="Times New Roman" w:hAnsi="Times New Roman" w:cs="Times New Roman"/>
          <w:sz w:val="24"/>
          <w:szCs w:val="24"/>
          <w:lang w:val="en" w:eastAsia="da-DK"/>
        </w:rPr>
        <w:t xml:space="preserve"> wholesale player to the value chain. For the purpose of the present case, the DCA operates with the notion “wholesale level” as if it already exists.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b/>
          <w:bCs/>
          <w:sz w:val="24"/>
          <w:szCs w:val="24"/>
          <w:lang w:val="en" w:eastAsia="da-DK"/>
        </w:rPr>
        <w:t>Figure 3: The value chain</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noProof/>
          <w:sz w:val="24"/>
          <w:szCs w:val="24"/>
          <w:lang w:eastAsia="da-DK"/>
        </w:rPr>
        <w:drawing>
          <wp:inline distT="0" distB="0" distL="0" distR="0" wp14:anchorId="24F36E6C" wp14:editId="29DFF4E3">
            <wp:extent cx="5257800" cy="3314700"/>
            <wp:effectExtent l="0" t="0" r="0" b="0"/>
            <wp:docPr id="5" name="Billede 5" descr="Figure 3: The value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The value chain"/>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57800" cy="3314700"/>
                    </a:xfrm>
                    <a:prstGeom prst="rect">
                      <a:avLst/>
                    </a:prstGeom>
                    <a:noFill/>
                    <a:ln>
                      <a:noFill/>
                    </a:ln>
                  </pic:spPr>
                </pic:pic>
              </a:graphicData>
            </a:graphic>
          </wp:inline>
        </w:drawing>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74. The value chain consists of the production, wholesale and retail segments. Table 6 shows how value is added throughout these three segments until the products reach the farmers.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Table 6: Structure of the fertilizer price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80"/>
        <w:gridCol w:w="3780"/>
      </w:tblGrid>
      <w:tr w:rsidR="00B102F4" w:rsidRPr="00B102F4" w:rsidTr="00B102F4">
        <w:trPr>
          <w:tblCellSpacing w:w="15" w:type="dxa"/>
        </w:trPr>
        <w:tc>
          <w:tcPr>
            <w:tcW w:w="3735" w:type="dxa"/>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NPK 21-3-10</w:t>
            </w:r>
          </w:p>
        </w:tc>
        <w:tc>
          <w:tcPr>
            <w:tcW w:w="3735" w:type="dxa"/>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Share</w:t>
            </w:r>
            <w:proofErr w:type="spellEnd"/>
            <w:r w:rsidRPr="00B102F4">
              <w:rPr>
                <w:rFonts w:ascii="Times New Roman" w:eastAsia="Times New Roman" w:hAnsi="Times New Roman" w:cs="Times New Roman"/>
                <w:b/>
                <w:bCs/>
                <w:sz w:val="24"/>
                <w:szCs w:val="24"/>
                <w:lang w:eastAsia="da-DK"/>
              </w:rPr>
              <w:t xml:space="preserve"> of final </w:t>
            </w:r>
            <w:proofErr w:type="spellStart"/>
            <w:r w:rsidRPr="00B102F4">
              <w:rPr>
                <w:rFonts w:ascii="Times New Roman" w:eastAsia="Times New Roman" w:hAnsi="Times New Roman" w:cs="Times New Roman"/>
                <w:b/>
                <w:bCs/>
                <w:sz w:val="24"/>
                <w:szCs w:val="24"/>
                <w:lang w:eastAsia="da-DK"/>
              </w:rPr>
              <w:t>price</w:t>
            </w:r>
            <w:proofErr w:type="spellEnd"/>
          </w:p>
        </w:tc>
      </w:tr>
      <w:tr w:rsidR="00B102F4" w:rsidRPr="00B102F4" w:rsidTr="00B102F4">
        <w:trPr>
          <w:tblCellSpacing w:w="15" w:type="dxa"/>
        </w:trPr>
        <w:tc>
          <w:tcPr>
            <w:tcW w:w="3735" w:type="dxa"/>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Farmers</w:t>
            </w:r>
          </w:p>
        </w:tc>
        <w:tc>
          <w:tcPr>
            <w:tcW w:w="3735" w:type="dxa"/>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100 %</w:t>
            </w:r>
          </w:p>
        </w:tc>
      </w:tr>
      <w:tr w:rsidR="00B102F4" w:rsidRPr="00B102F4" w:rsidTr="00B102F4">
        <w:trPr>
          <w:tblCellSpacing w:w="15" w:type="dxa"/>
        </w:trPr>
        <w:tc>
          <w:tcPr>
            <w:tcW w:w="3735" w:type="dxa"/>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xml:space="preserve">Retail, </w:t>
            </w:r>
            <w:proofErr w:type="spellStart"/>
            <w:r w:rsidRPr="00B102F4">
              <w:rPr>
                <w:rFonts w:ascii="Times New Roman" w:eastAsia="Times New Roman" w:hAnsi="Times New Roman" w:cs="Times New Roman"/>
                <w:sz w:val="24"/>
                <w:szCs w:val="24"/>
                <w:lang w:eastAsia="da-DK"/>
              </w:rPr>
              <w:t>purchase</w:t>
            </w:r>
            <w:proofErr w:type="spellEnd"/>
            <w:r w:rsidRPr="00B102F4">
              <w:rPr>
                <w:rFonts w:ascii="Times New Roman" w:eastAsia="Times New Roman" w:hAnsi="Times New Roman" w:cs="Times New Roman"/>
                <w:sz w:val="24"/>
                <w:szCs w:val="24"/>
                <w:lang w:eastAsia="da-DK"/>
              </w:rPr>
              <w:t xml:space="preserve"> </w:t>
            </w:r>
            <w:proofErr w:type="spellStart"/>
            <w:r w:rsidRPr="00B102F4">
              <w:rPr>
                <w:rFonts w:ascii="Times New Roman" w:eastAsia="Times New Roman" w:hAnsi="Times New Roman" w:cs="Times New Roman"/>
                <w:sz w:val="24"/>
                <w:szCs w:val="24"/>
                <w:lang w:eastAsia="da-DK"/>
              </w:rPr>
              <w:t>price</w:t>
            </w:r>
            <w:proofErr w:type="spellEnd"/>
          </w:p>
        </w:tc>
        <w:tc>
          <w:tcPr>
            <w:tcW w:w="3735" w:type="dxa"/>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 %</w:t>
            </w:r>
          </w:p>
        </w:tc>
      </w:tr>
      <w:tr w:rsidR="00B102F4" w:rsidRPr="00B102F4" w:rsidTr="00B102F4">
        <w:trPr>
          <w:tblCellSpacing w:w="15" w:type="dxa"/>
        </w:trPr>
        <w:tc>
          <w:tcPr>
            <w:tcW w:w="3735" w:type="dxa"/>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sz w:val="24"/>
                <w:szCs w:val="24"/>
                <w:lang w:eastAsia="da-DK"/>
              </w:rPr>
              <w:t>Ferti</w:t>
            </w:r>
            <w:proofErr w:type="spellEnd"/>
            <w:r w:rsidRPr="00B102F4">
              <w:rPr>
                <w:rFonts w:ascii="Times New Roman" w:eastAsia="Times New Roman" w:hAnsi="Times New Roman" w:cs="Times New Roman"/>
                <w:sz w:val="24"/>
                <w:szCs w:val="24"/>
                <w:lang w:eastAsia="da-DK"/>
              </w:rPr>
              <w:t xml:space="preserve"> Supply, </w:t>
            </w:r>
            <w:proofErr w:type="spellStart"/>
            <w:r w:rsidRPr="00B102F4">
              <w:rPr>
                <w:rFonts w:ascii="Times New Roman" w:eastAsia="Times New Roman" w:hAnsi="Times New Roman" w:cs="Times New Roman"/>
                <w:sz w:val="24"/>
                <w:szCs w:val="24"/>
                <w:lang w:eastAsia="da-DK"/>
              </w:rPr>
              <w:t>purchase</w:t>
            </w:r>
            <w:proofErr w:type="spellEnd"/>
            <w:r w:rsidRPr="00B102F4">
              <w:rPr>
                <w:rFonts w:ascii="Times New Roman" w:eastAsia="Times New Roman" w:hAnsi="Times New Roman" w:cs="Times New Roman"/>
                <w:sz w:val="24"/>
                <w:szCs w:val="24"/>
                <w:lang w:eastAsia="da-DK"/>
              </w:rPr>
              <w:t xml:space="preserve"> </w:t>
            </w:r>
            <w:proofErr w:type="spellStart"/>
            <w:r w:rsidRPr="00B102F4">
              <w:rPr>
                <w:rFonts w:ascii="Times New Roman" w:eastAsia="Times New Roman" w:hAnsi="Times New Roman" w:cs="Times New Roman"/>
                <w:sz w:val="24"/>
                <w:szCs w:val="24"/>
                <w:lang w:eastAsia="da-DK"/>
              </w:rPr>
              <w:t>price</w:t>
            </w:r>
            <w:proofErr w:type="spellEnd"/>
          </w:p>
        </w:tc>
        <w:tc>
          <w:tcPr>
            <w:tcW w:w="3735" w:type="dxa"/>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 %</w:t>
            </w:r>
          </w:p>
        </w:tc>
      </w:tr>
      <w:tr w:rsidR="00B102F4" w:rsidRPr="00B102F4" w:rsidTr="00B102F4">
        <w:trPr>
          <w:tblCellSpacing w:w="15" w:type="dxa"/>
        </w:trPr>
        <w:tc>
          <w:tcPr>
            <w:tcW w:w="3735" w:type="dxa"/>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sz w:val="24"/>
                <w:szCs w:val="24"/>
                <w:lang w:eastAsia="da-DK"/>
              </w:rPr>
              <w:t>Yara’s</w:t>
            </w:r>
            <w:proofErr w:type="spellEnd"/>
            <w:r w:rsidRPr="00B102F4">
              <w:rPr>
                <w:rFonts w:ascii="Times New Roman" w:eastAsia="Times New Roman" w:hAnsi="Times New Roman" w:cs="Times New Roman"/>
                <w:sz w:val="24"/>
                <w:szCs w:val="24"/>
                <w:lang w:eastAsia="da-DK"/>
              </w:rPr>
              <w:t xml:space="preserve"> </w:t>
            </w:r>
            <w:proofErr w:type="spellStart"/>
            <w:r w:rsidRPr="00B102F4">
              <w:rPr>
                <w:rFonts w:ascii="Times New Roman" w:eastAsia="Times New Roman" w:hAnsi="Times New Roman" w:cs="Times New Roman"/>
                <w:sz w:val="24"/>
                <w:szCs w:val="24"/>
                <w:lang w:eastAsia="da-DK"/>
              </w:rPr>
              <w:t>production</w:t>
            </w:r>
            <w:proofErr w:type="spellEnd"/>
            <w:r w:rsidRPr="00B102F4">
              <w:rPr>
                <w:rFonts w:ascii="Times New Roman" w:eastAsia="Times New Roman" w:hAnsi="Times New Roman" w:cs="Times New Roman"/>
                <w:sz w:val="24"/>
                <w:szCs w:val="24"/>
                <w:lang w:eastAsia="da-DK"/>
              </w:rPr>
              <w:t xml:space="preserve"> </w:t>
            </w:r>
            <w:proofErr w:type="spellStart"/>
            <w:r w:rsidRPr="00B102F4">
              <w:rPr>
                <w:rFonts w:ascii="Times New Roman" w:eastAsia="Times New Roman" w:hAnsi="Times New Roman" w:cs="Times New Roman"/>
                <w:sz w:val="24"/>
                <w:szCs w:val="24"/>
                <w:lang w:eastAsia="da-DK"/>
              </w:rPr>
              <w:t>costs</w:t>
            </w:r>
            <w:proofErr w:type="spellEnd"/>
          </w:p>
        </w:tc>
        <w:tc>
          <w:tcPr>
            <w:tcW w:w="3735" w:type="dxa"/>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[X] %</w:t>
            </w:r>
          </w:p>
        </w:tc>
      </w:tr>
    </w:tbl>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Source: The parties.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75. </w:t>
      </w:r>
      <w:proofErr w:type="gramStart"/>
      <w:r w:rsidRPr="00B102F4">
        <w:rPr>
          <w:rFonts w:ascii="Times New Roman" w:eastAsia="Times New Roman" w:hAnsi="Times New Roman" w:cs="Times New Roman"/>
          <w:sz w:val="24"/>
          <w:szCs w:val="24"/>
          <w:lang w:val="en" w:eastAsia="da-DK"/>
        </w:rPr>
        <w:t>Of</w:t>
      </w:r>
      <w:proofErr w:type="gramEnd"/>
      <w:r w:rsidRPr="00B102F4">
        <w:rPr>
          <w:rFonts w:ascii="Times New Roman" w:eastAsia="Times New Roman" w:hAnsi="Times New Roman" w:cs="Times New Roman"/>
          <w:sz w:val="24"/>
          <w:szCs w:val="24"/>
          <w:lang w:val="en" w:eastAsia="da-DK"/>
        </w:rPr>
        <w:t xml:space="preserve"> the final price to the end-users (farmers), [X] % are determined by costs at the production level. The [X] % includes costs of ship transportation to the terminal in Randers and marginal return to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 xml:space="preserve">76. In the wholesale segment,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adds value corresponding to [X] % of the final price. [] The final [X] % of the value is added in the retail segment through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77.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price is, among other things, determined by the price of natural gas, [], and a supply which is inelastic in the short run.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78. </w:t>
      </w:r>
      <w:proofErr w:type="gramStart"/>
      <w:r w:rsidRPr="00B102F4">
        <w:rPr>
          <w:rFonts w:ascii="Times New Roman" w:eastAsia="Times New Roman" w:hAnsi="Times New Roman" w:cs="Times New Roman"/>
          <w:sz w:val="24"/>
          <w:szCs w:val="24"/>
          <w:lang w:val="en" w:eastAsia="da-DK"/>
        </w:rPr>
        <w:t>In</w:t>
      </w:r>
      <w:proofErr w:type="gramEnd"/>
      <w:r w:rsidRPr="00B102F4">
        <w:rPr>
          <w:rFonts w:ascii="Times New Roman" w:eastAsia="Times New Roman" w:hAnsi="Times New Roman" w:cs="Times New Roman"/>
          <w:sz w:val="24"/>
          <w:szCs w:val="24"/>
          <w:lang w:val="en" w:eastAsia="da-DK"/>
        </w:rPr>
        <w:t xml:space="preserve"> total, [X] % of the final price is determined domestically. Storage and transportation costs comprise [X] % of the final value of the product. Among other things, the cost of replacing fertilizers in different storage facilities are expected to be reduced, as the joint storage capacity within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supposed to facilitate more optimal planning.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79. The figures reported in Table 6 must be interpreted with caution, as it may be difficult to identify at which level transportation costs will be reduced. Distribution takes place in a number of ways; cf. Figure 4. Farmers can pick up their fertilizers shipside, at a wholesale storage facility, retail storage facility, or transportation can be arranged for by the retailer. The price (rebate) paid (obtained) by the farmers will; therefore, to a large extent depend on the chosen form of delivery.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b/>
          <w:bCs/>
          <w:sz w:val="24"/>
          <w:szCs w:val="24"/>
          <w:lang w:val="en" w:eastAsia="da-DK"/>
        </w:rPr>
        <w:t xml:space="preserve">Figure 4: Distribution channels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noProof/>
          <w:sz w:val="24"/>
          <w:szCs w:val="24"/>
          <w:lang w:eastAsia="da-DK"/>
        </w:rPr>
        <w:drawing>
          <wp:inline distT="0" distB="0" distL="0" distR="0" wp14:anchorId="43EE2D6F" wp14:editId="2351C6C7">
            <wp:extent cx="5143500" cy="4343400"/>
            <wp:effectExtent l="0" t="0" r="0" b="0"/>
            <wp:docPr id="4" name="Billede 4" descr="Figure 4: Distribution chann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Distribution channels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43500" cy="4343400"/>
                    </a:xfrm>
                    <a:prstGeom prst="rect">
                      <a:avLst/>
                    </a:prstGeom>
                    <a:noFill/>
                    <a:ln>
                      <a:noFill/>
                    </a:ln>
                  </pic:spPr>
                </pic:pic>
              </a:graphicData>
            </a:graphic>
          </wp:inline>
        </w:drawing>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B102F4">
        <w:rPr>
          <w:rFonts w:ascii="Times New Roman" w:eastAsia="Times New Roman" w:hAnsi="Times New Roman" w:cs="Times New Roman"/>
          <w:b/>
          <w:bCs/>
          <w:noProof/>
          <w:sz w:val="27"/>
          <w:szCs w:val="27"/>
          <w:lang w:eastAsia="da-DK"/>
        </w:rPr>
        <w:drawing>
          <wp:inline distT="0" distB="0" distL="0" distR="0" wp14:anchorId="25B10E7E" wp14:editId="1485B525">
            <wp:extent cx="1409700" cy="266700"/>
            <wp:effectExtent l="0" t="0" r="0" b="0"/>
            <wp:docPr id="3" name="Billede 3" descr="Source: The pa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rce: The parties"/>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09700" cy="266700"/>
                    </a:xfrm>
                    <a:prstGeom prst="rect">
                      <a:avLst/>
                    </a:prstGeom>
                    <a:noFill/>
                    <a:ln>
                      <a:noFill/>
                    </a:ln>
                  </pic:spPr>
                </pic:pic>
              </a:graphicData>
            </a:graphic>
          </wp:inline>
        </w:drawing>
      </w:r>
      <w:r w:rsidRPr="00B102F4">
        <w:rPr>
          <w:rFonts w:ascii="Times New Roman" w:eastAsia="Times New Roman" w:hAnsi="Times New Roman" w:cs="Times New Roman"/>
          <w:b/>
          <w:bCs/>
          <w:sz w:val="27"/>
          <w:szCs w:val="27"/>
          <w:lang w:val="en" w:eastAsia="da-DK"/>
        </w:rPr>
        <w:br/>
      </w:r>
      <w:bookmarkStart w:id="53" w:name="prod"/>
      <w:bookmarkEnd w:id="53"/>
      <w:r w:rsidRPr="00B102F4">
        <w:rPr>
          <w:rFonts w:ascii="Times New Roman" w:eastAsia="Times New Roman" w:hAnsi="Times New Roman" w:cs="Times New Roman"/>
          <w:b/>
          <w:bCs/>
          <w:sz w:val="27"/>
          <w:szCs w:val="27"/>
          <w:lang w:val="en" w:eastAsia="da-DK"/>
        </w:rPr>
        <w:t>Production</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 xml:space="preserve">80. The parties submit that the production market is the first step in the value chain and where producers do business with traders and wholesale businesses.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81. On a yearly basis, approximately 142 million tons of N, P and K fertilizers are consumed worldwide. The production of fertilizers is an international market, where producers and their customers may be international or regional companies as well as national companies, depending on the presence of producers in the region. In addition to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other large producers of fertilizers are: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GrowHow</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Oyj</w:t>
      </w:r>
      <w:proofErr w:type="spellEnd"/>
      <w:r w:rsidRPr="00B102F4">
        <w:rPr>
          <w:rFonts w:ascii="Times New Roman" w:eastAsia="Times New Roman" w:hAnsi="Times New Roman" w:cs="Times New Roman"/>
          <w:sz w:val="24"/>
          <w:szCs w:val="24"/>
          <w:lang w:val="en" w:eastAsia="da-DK"/>
        </w:rPr>
        <w:t xml:space="preserve"> (Finland), </w:t>
      </w:r>
      <w:proofErr w:type="spellStart"/>
      <w:r w:rsidRPr="00B102F4">
        <w:rPr>
          <w:rFonts w:ascii="Times New Roman" w:eastAsia="Times New Roman" w:hAnsi="Times New Roman" w:cs="Times New Roman"/>
          <w:sz w:val="24"/>
          <w:szCs w:val="24"/>
          <w:lang w:val="en" w:eastAsia="da-DK"/>
        </w:rPr>
        <w:t>Zuid</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Chemie</w:t>
      </w:r>
      <w:proofErr w:type="spellEnd"/>
      <w:r w:rsidRPr="00B102F4">
        <w:rPr>
          <w:rFonts w:ascii="Times New Roman" w:eastAsia="Times New Roman" w:hAnsi="Times New Roman" w:cs="Times New Roman"/>
          <w:sz w:val="24"/>
          <w:szCs w:val="24"/>
          <w:lang w:val="en" w:eastAsia="da-DK"/>
        </w:rPr>
        <w:t xml:space="preserve"> B.V. (The Netherlands), </w:t>
      </w:r>
      <w:proofErr w:type="spellStart"/>
      <w:r w:rsidRPr="00B102F4">
        <w:rPr>
          <w:rFonts w:ascii="Times New Roman" w:eastAsia="Times New Roman" w:hAnsi="Times New Roman" w:cs="Times New Roman"/>
          <w:sz w:val="24"/>
          <w:szCs w:val="24"/>
          <w:lang w:val="en" w:eastAsia="da-DK"/>
        </w:rPr>
        <w:t>Fertiva</w:t>
      </w:r>
      <w:proofErr w:type="spellEnd"/>
      <w:r w:rsidRPr="00B102F4">
        <w:rPr>
          <w:rFonts w:ascii="Times New Roman" w:eastAsia="Times New Roman" w:hAnsi="Times New Roman" w:cs="Times New Roman"/>
          <w:sz w:val="24"/>
          <w:szCs w:val="24"/>
          <w:lang w:val="en" w:eastAsia="da-DK"/>
        </w:rPr>
        <w:t xml:space="preserve"> GmbH (Germany), AB “</w:t>
      </w:r>
      <w:proofErr w:type="spellStart"/>
      <w:r w:rsidRPr="00B102F4">
        <w:rPr>
          <w:rFonts w:ascii="Times New Roman" w:eastAsia="Times New Roman" w:hAnsi="Times New Roman" w:cs="Times New Roman"/>
          <w:sz w:val="24"/>
          <w:szCs w:val="24"/>
          <w:lang w:val="en" w:eastAsia="da-DK"/>
        </w:rPr>
        <w:t>Achema</w:t>
      </w:r>
      <w:proofErr w:type="spellEnd"/>
      <w:r w:rsidRPr="00B102F4">
        <w:rPr>
          <w:rFonts w:ascii="Times New Roman" w:eastAsia="Times New Roman" w:hAnsi="Times New Roman" w:cs="Times New Roman"/>
          <w:sz w:val="24"/>
          <w:szCs w:val="24"/>
          <w:lang w:val="en" w:eastAsia="da-DK"/>
        </w:rPr>
        <w:t xml:space="preserve">” (Lithuania), ZAK S.A. (Poland) and Helm AG (Germany).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82. No significant production of fertilizers takes place in Denmark. </w:t>
      </w:r>
      <w:proofErr w:type="spellStart"/>
      <w:r w:rsidRPr="00B102F4">
        <w:rPr>
          <w:rFonts w:ascii="Times New Roman" w:eastAsia="Times New Roman" w:hAnsi="Times New Roman" w:cs="Times New Roman"/>
          <w:sz w:val="24"/>
          <w:szCs w:val="24"/>
          <w:lang w:val="en" w:eastAsia="da-DK"/>
        </w:rPr>
        <w:t>DanGødning</w:t>
      </w:r>
      <w:proofErr w:type="spellEnd"/>
      <w:r w:rsidRPr="00B102F4">
        <w:rPr>
          <w:rFonts w:ascii="Times New Roman" w:eastAsia="Times New Roman" w:hAnsi="Times New Roman" w:cs="Times New Roman"/>
          <w:sz w:val="24"/>
          <w:szCs w:val="24"/>
          <w:lang w:val="en" w:eastAsia="da-DK"/>
        </w:rPr>
        <w:t xml:space="preserve"> has some production in Denmark, but this is primarily liquid fertilizers, and the company has no production of significance in the market relevant in the present case. All fertilizers are therefore either imported by purchasing entities or supplied through producers’ local sales entities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terminal in Randers or </w:t>
      </w:r>
      <w:proofErr w:type="spellStart"/>
      <w:r w:rsidRPr="00B102F4">
        <w:rPr>
          <w:rFonts w:ascii="Times New Roman" w:eastAsia="Times New Roman" w:hAnsi="Times New Roman" w:cs="Times New Roman"/>
          <w:sz w:val="24"/>
          <w:szCs w:val="24"/>
          <w:lang w:val="en" w:eastAsia="da-DK"/>
        </w:rPr>
        <w:t>Kemira’s</w:t>
      </w:r>
      <w:proofErr w:type="spellEnd"/>
      <w:r w:rsidRPr="00B102F4">
        <w:rPr>
          <w:rFonts w:ascii="Times New Roman" w:eastAsia="Times New Roman" w:hAnsi="Times New Roman" w:cs="Times New Roman"/>
          <w:sz w:val="24"/>
          <w:szCs w:val="24"/>
          <w:lang w:val="en" w:eastAsia="da-DK"/>
        </w:rPr>
        <w:t xml:space="preserve"> in </w:t>
      </w:r>
      <w:proofErr w:type="spellStart"/>
      <w:r w:rsidRPr="00B102F4">
        <w:rPr>
          <w:rFonts w:ascii="Times New Roman" w:eastAsia="Times New Roman" w:hAnsi="Times New Roman" w:cs="Times New Roman"/>
          <w:sz w:val="24"/>
          <w:szCs w:val="24"/>
          <w:lang w:val="en" w:eastAsia="da-DK"/>
        </w:rPr>
        <w:t>Fredericia</w:t>
      </w:r>
      <w:proofErr w:type="spellEnd"/>
      <w:r w:rsidRPr="00B102F4">
        <w:rPr>
          <w:rFonts w:ascii="Times New Roman" w:eastAsia="Times New Roman" w:hAnsi="Times New Roman" w:cs="Times New Roman"/>
          <w:sz w:val="24"/>
          <w:szCs w:val="24"/>
          <w:lang w:val="en" w:eastAsia="da-DK"/>
        </w:rPr>
        <w:t xml:space="preserve">). The Danish fertilizer market is, according to the parties, very accessible for foreign producers compared to other markets due to the existence of many local </w:t>
      </w:r>
      <w:proofErr w:type="spellStart"/>
      <w:r w:rsidRPr="00B102F4">
        <w:rPr>
          <w:rFonts w:ascii="Times New Roman" w:eastAsia="Times New Roman" w:hAnsi="Times New Roman" w:cs="Times New Roman"/>
          <w:sz w:val="24"/>
          <w:szCs w:val="24"/>
          <w:lang w:val="en" w:eastAsia="da-DK"/>
        </w:rPr>
        <w:t>harbours</w:t>
      </w:r>
      <w:proofErr w:type="spellEnd"/>
      <w:r w:rsidRPr="00B102F4">
        <w:rPr>
          <w:rFonts w:ascii="Times New Roman" w:eastAsia="Times New Roman" w:hAnsi="Times New Roman" w:cs="Times New Roman"/>
          <w:sz w:val="24"/>
          <w:szCs w:val="24"/>
          <w:lang w:val="en" w:eastAsia="da-DK"/>
        </w:rPr>
        <w:t xml:space="preserve">, cf. Figure 5.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83. Whereas the same quantity of fertilizers is produced each month, fertilizers are consumed over a three-month period, which makes storing essential. Most producers both have warehouses in combination with their production and outlets in markets where they have stable business.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84. Fertilizers are typically sold in a number of ways, such as year-to-year contracts, on the spot market, short term contracts etc. However, supply on the spot market is quite limited, according to the parties, and the products on this market are often offered off-season (June-August) when storages are filled with grain. The products are sold in a combination of bulk material or bagged material and ship-, train- and truckloads. Typically, a ship only carries one type of fertilizer per shipload. In Denmark, fertilizers are primarily supplied by relatively small ships (3-5,000 tons).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b/>
          <w:bCs/>
          <w:sz w:val="24"/>
          <w:szCs w:val="24"/>
          <w:lang w:val="en" w:eastAsia="da-DK"/>
        </w:rPr>
        <w:t xml:space="preserve">Figure 5: Danish ports used by the parties today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noProof/>
          <w:sz w:val="24"/>
          <w:szCs w:val="24"/>
          <w:lang w:eastAsia="da-DK"/>
        </w:rPr>
        <w:lastRenderedPageBreak/>
        <w:drawing>
          <wp:inline distT="0" distB="0" distL="0" distR="0" wp14:anchorId="2FCF57C7" wp14:editId="40674B8E">
            <wp:extent cx="4638675" cy="3248025"/>
            <wp:effectExtent l="0" t="0" r="9525" b="9525"/>
            <wp:docPr id="2" name="Billede 2" descr="Figure 5: Danish ports used by the parties to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5: Danish ports used by the parties today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38675" cy="3248025"/>
                    </a:xfrm>
                    <a:prstGeom prst="rect">
                      <a:avLst/>
                    </a:prstGeom>
                    <a:noFill/>
                    <a:ln>
                      <a:noFill/>
                    </a:ln>
                  </pic:spPr>
                </pic:pic>
              </a:graphicData>
            </a:graphic>
          </wp:inline>
        </w:drawing>
      </w:r>
      <w:r w:rsidRPr="00B102F4">
        <w:rPr>
          <w:rFonts w:ascii="Times New Roman" w:eastAsia="Times New Roman" w:hAnsi="Times New Roman" w:cs="Times New Roman"/>
          <w:sz w:val="24"/>
          <w:szCs w:val="24"/>
          <w:lang w:val="en" w:eastAsia="da-DK"/>
        </w:rPr>
        <w:br/>
        <w:t xml:space="preserve">Source: The parties.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85. Of the parties, only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operates in the production market. In 2004/05,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sold approximately [X] tons nitrogen based fertilizers with a value of EUR [X] million, corresponding to DKK [X] million, in Denmark. Almost all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sales in Denmark were made to “wholesalers”.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54" w:name="_Toc128203471"/>
      <w:bookmarkEnd w:id="54"/>
      <w:r w:rsidRPr="00B102F4">
        <w:rPr>
          <w:rFonts w:ascii="Times New Roman" w:eastAsia="Times New Roman" w:hAnsi="Times New Roman" w:cs="Times New Roman"/>
          <w:b/>
          <w:bCs/>
          <w:sz w:val="27"/>
          <w:szCs w:val="27"/>
          <w:lang w:val="en" w:eastAsia="da-DK"/>
        </w:rPr>
        <w:t>Wholesale</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86. In the wholesale market, wholesalers buy fertilizers from fertilizer producers or traders and sell to retailers and other wholesalers. Given the continuous production and the seasonal consumption, fertilizer producers make use of the services of wholesalers when it comes to storage and distribution.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87. Wholesale companies resell products from their storage facilities, their bagging units or directly from shipside to retail customers. The parties state that value is added on the wholesale level by aggregating purchases from more retailers to attain buying power, storing fertilizers in dedicated wholesale storage facilities during periods when retailers do not have space in their warehouses, bagging fertilizers in big bags (650-1,000 kg) or small bags (25 kg) and transporting fertilizers to the customers.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88. According to the parties, practically no end-users have sufficient storage facilities to purchase and store fertilizers during the off-season. Also, retailer’s storage capacity is typically used for other products, such as grain, during harvest. Accordingly, wholesalers will typically store the fertilizer products during the off-season which lasts from June to August or longer.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89. There are a number of purchasing </w:t>
      </w:r>
      <w:proofErr w:type="spellStart"/>
      <w:r w:rsidRPr="00B102F4">
        <w:rPr>
          <w:rFonts w:ascii="Times New Roman" w:eastAsia="Times New Roman" w:hAnsi="Times New Roman" w:cs="Times New Roman"/>
          <w:sz w:val="24"/>
          <w:szCs w:val="24"/>
          <w:lang w:val="en" w:eastAsia="da-DK"/>
        </w:rPr>
        <w:t>organisations</w:t>
      </w:r>
      <w:proofErr w:type="spellEnd"/>
      <w:r w:rsidRPr="00B102F4">
        <w:rPr>
          <w:rFonts w:ascii="Times New Roman" w:eastAsia="Times New Roman" w:hAnsi="Times New Roman" w:cs="Times New Roman"/>
          <w:sz w:val="24"/>
          <w:szCs w:val="24"/>
          <w:lang w:val="en" w:eastAsia="da-DK"/>
        </w:rPr>
        <w:t xml:space="preserve"> (i.e. mainly retailers cooperating on joint purchase at the wholesale level) operating on the Danish market, for instance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and DLA Agro. These </w:t>
      </w:r>
      <w:proofErr w:type="spellStart"/>
      <w:r w:rsidRPr="00B102F4">
        <w:rPr>
          <w:rFonts w:ascii="Times New Roman" w:eastAsia="Times New Roman" w:hAnsi="Times New Roman" w:cs="Times New Roman"/>
          <w:sz w:val="24"/>
          <w:szCs w:val="24"/>
          <w:lang w:val="en" w:eastAsia="da-DK"/>
        </w:rPr>
        <w:t>organisations</w:t>
      </w:r>
      <w:proofErr w:type="spellEnd"/>
      <w:r w:rsidRPr="00B102F4">
        <w:rPr>
          <w:rFonts w:ascii="Times New Roman" w:eastAsia="Times New Roman" w:hAnsi="Times New Roman" w:cs="Times New Roman"/>
          <w:sz w:val="24"/>
          <w:szCs w:val="24"/>
          <w:lang w:val="en" w:eastAsia="da-DK"/>
        </w:rPr>
        <w:t xml:space="preserve"> are only engaged in arranging purchases on behalf of their members. </w:t>
      </w:r>
      <w:r w:rsidRPr="00B102F4">
        <w:rPr>
          <w:rFonts w:ascii="Times New Roman" w:eastAsia="Times New Roman" w:hAnsi="Times New Roman" w:cs="Times New Roman"/>
          <w:sz w:val="24"/>
          <w:szCs w:val="24"/>
          <w:lang w:val="en" w:eastAsia="da-DK"/>
        </w:rPr>
        <w:lastRenderedPageBreak/>
        <w:t xml:space="preserve">Some of the members are acting as sellers in the wholesale market, by adding wholesale service to the physical products sourced through the purchase </w:t>
      </w:r>
      <w:proofErr w:type="spellStart"/>
      <w:r w:rsidRPr="00B102F4">
        <w:rPr>
          <w:rFonts w:ascii="Times New Roman" w:eastAsia="Times New Roman" w:hAnsi="Times New Roman" w:cs="Times New Roman"/>
          <w:sz w:val="24"/>
          <w:szCs w:val="24"/>
          <w:lang w:val="en" w:eastAsia="da-DK"/>
        </w:rPr>
        <w:t>organisation</w:t>
      </w:r>
      <w:proofErr w:type="spellEnd"/>
      <w:r w:rsidRPr="00B102F4">
        <w:rPr>
          <w:rFonts w:ascii="Times New Roman" w:eastAsia="Times New Roman" w:hAnsi="Times New Roman" w:cs="Times New Roman"/>
          <w:sz w:val="24"/>
          <w:szCs w:val="24"/>
          <w:lang w:val="en" w:eastAsia="da-DK"/>
        </w:rPr>
        <w:t xml:space="preserve"> (storage and packing).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90. In the Danish wholesale market, most transportation of fertilizers from shipside to storage takes place by truck. Fertilizers are relatively heavy and voluminous products, which makes transportation costs significant. Therefore, it is essential to minimize transport distance and the number of transports between storage facilities. When stocking fertilizers out of season, it is thus important to have storage facilities as close to the end-users as possible at one’s disposal.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91. Due to transportation costs, the geographical scope of the wholesale market is somewhat limited. According to the parties, a wholesaler typically transports fertilizers by truck within a radius of less than 100 </w:t>
      </w:r>
      <w:proofErr w:type="spellStart"/>
      <w:r w:rsidRPr="00B102F4">
        <w:rPr>
          <w:rFonts w:ascii="Times New Roman" w:eastAsia="Times New Roman" w:hAnsi="Times New Roman" w:cs="Times New Roman"/>
          <w:sz w:val="24"/>
          <w:szCs w:val="24"/>
          <w:lang w:val="en" w:eastAsia="da-DK"/>
        </w:rPr>
        <w:t>kilometres</w:t>
      </w:r>
      <w:proofErr w:type="spellEnd"/>
      <w:r w:rsidRPr="00B102F4">
        <w:rPr>
          <w:rFonts w:ascii="Times New Roman" w:eastAsia="Times New Roman" w:hAnsi="Times New Roman" w:cs="Times New Roman"/>
          <w:sz w:val="24"/>
          <w:szCs w:val="24"/>
          <w:lang w:val="en" w:eastAsia="da-DK"/>
        </w:rPr>
        <w:t xml:space="preserve"> on average.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92.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are both active on the wholesale market for fertilizers with, until now,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Fertilizer organizing their purchases. Table 3 shows volumes (kg) and market shares of the two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co-operatives. The largest competitors to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in the wholesale market are DLA Agro,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(direct sales to retailers).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93.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operate in the wholesale market taking over DLG and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wholesale activities, and the company will be the only genuine wholesaler in the Danish market. </w:t>
      </w:r>
      <w:proofErr w:type="gramStart"/>
      <w:r w:rsidRPr="00B102F4">
        <w:rPr>
          <w:rFonts w:ascii="Times New Roman" w:eastAsia="Times New Roman" w:hAnsi="Times New Roman" w:cs="Times New Roman"/>
          <w:sz w:val="24"/>
          <w:szCs w:val="24"/>
          <w:lang w:val="en" w:eastAsia="da-DK"/>
        </w:rPr>
        <w:t>As mentioned above, wholesale functions have until now been integrated in the different companies on the market.</w:t>
      </w:r>
      <w:proofErr w:type="gramEnd"/>
      <w:r w:rsidRPr="00B102F4">
        <w:rPr>
          <w:rFonts w:ascii="Times New Roman" w:eastAsia="Times New Roman" w:hAnsi="Times New Roman" w:cs="Times New Roman"/>
          <w:sz w:val="24"/>
          <w:szCs w:val="24"/>
          <w:lang w:val="en" w:eastAsia="da-DK"/>
        </w:rPr>
        <w:t xml:space="preserve"> Within the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cooperation,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has handled purchases only, while the other participants have handled the logistical functions themselves. With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 independent wholesale segment with its own turnover is created.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obtain a combined market share of 55-60 % in the Danish wholesale market for fertilizers.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94.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storage facilities, situated at the terminal in Randers and in a warehouse in </w:t>
      </w:r>
      <w:proofErr w:type="spellStart"/>
      <w:r w:rsidRPr="00B102F4">
        <w:rPr>
          <w:rFonts w:ascii="Times New Roman" w:eastAsia="Times New Roman" w:hAnsi="Times New Roman" w:cs="Times New Roman"/>
          <w:sz w:val="24"/>
          <w:szCs w:val="24"/>
          <w:lang w:val="en" w:eastAsia="da-DK"/>
        </w:rPr>
        <w:t>Grenaa</w:t>
      </w:r>
      <w:proofErr w:type="spellEnd"/>
      <w:r w:rsidRPr="00B102F4">
        <w:rPr>
          <w:rFonts w:ascii="Times New Roman" w:eastAsia="Times New Roman" w:hAnsi="Times New Roman" w:cs="Times New Roman"/>
          <w:sz w:val="24"/>
          <w:szCs w:val="24"/>
          <w:lang w:val="en" w:eastAsia="da-DK"/>
        </w:rPr>
        <w:t xml:space="preserve">, will be rented or leased by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so will a number of storage facilities belonging to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members. At the terminal, ships are received and fertilizer products are unloaded from the ship onto trucks for further distribution, or they are placed directly in the terminal for storage and possible filling into big bags. The terminal houses equipment for filling fertilizers into big bags of 650 or 1,000 kg.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95. DLG has storage facilities all over Denmark. In addition to these,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-members have storage facilities, mainly in Jutland but also a few on </w:t>
      </w:r>
      <w:proofErr w:type="spellStart"/>
      <w:r w:rsidRPr="00B102F4">
        <w:rPr>
          <w:rFonts w:ascii="Times New Roman" w:eastAsia="Times New Roman" w:hAnsi="Times New Roman" w:cs="Times New Roman"/>
          <w:sz w:val="24"/>
          <w:szCs w:val="24"/>
          <w:lang w:val="en" w:eastAsia="da-DK"/>
        </w:rPr>
        <w:t>Funen</w:t>
      </w:r>
      <w:proofErr w:type="spellEnd"/>
      <w:r w:rsidRPr="00B102F4">
        <w:rPr>
          <w:rFonts w:ascii="Times New Roman" w:eastAsia="Times New Roman" w:hAnsi="Times New Roman" w:cs="Times New Roman"/>
          <w:sz w:val="24"/>
          <w:szCs w:val="24"/>
          <w:lang w:val="en" w:eastAsia="da-DK"/>
        </w:rPr>
        <w:t>.</w:t>
      </w:r>
      <w:bookmarkStart w:id="55" w:name="_ftnref23"/>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"_ftn23"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[23]</w:t>
      </w:r>
      <w:r w:rsidRPr="00B102F4">
        <w:rPr>
          <w:rFonts w:ascii="Times New Roman" w:eastAsia="Times New Roman" w:hAnsi="Times New Roman" w:cs="Times New Roman"/>
          <w:sz w:val="24"/>
          <w:szCs w:val="24"/>
          <w:lang w:val="en" w:eastAsia="da-DK"/>
        </w:rPr>
        <w:fldChar w:fldCharType="end"/>
      </w:r>
      <w:bookmarkEnd w:id="55"/>
      <w:r w:rsidRPr="00B102F4">
        <w:rPr>
          <w:rFonts w:ascii="Times New Roman" w:eastAsia="Times New Roman" w:hAnsi="Times New Roman" w:cs="Times New Roman"/>
          <w:sz w:val="24"/>
          <w:szCs w:val="24"/>
          <w:lang w:val="en" w:eastAsia="da-DK"/>
        </w:rPr>
        <w:t xml:space="preserve"> Accordingly,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has access to storage capacities [] throughout the country. In addition to these facilities,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shall search the market for other appropriate storage facilities where relevant. According to the parties, it is the aim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to have wholesale facilities all over the country. Storage facilities rented by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are equipped with gear for loading and unloading fertilizer products and other relevant equipment.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96. The parties’ competitors also have storage facilities throughout the country. It should be kept in mind that it, notwithstanding the regulations in this field, is quite easy to bring new storage capacity into the market and that this is not a scarce resource – the true restraint is rather maintenance and handling of the flow in the storage facilities, which in itself may be quite burdensome and cost demanding. According to the parties, at least 14 of the storage facilities in Jutland (of these 5 belonging to other companies than the parties) have bagging equipment.</w:t>
      </w:r>
      <w:bookmarkStart w:id="56" w:name="_ftnref24"/>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"_ftn24"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[24]</w:t>
      </w:r>
      <w:r w:rsidRPr="00B102F4">
        <w:rPr>
          <w:rFonts w:ascii="Times New Roman" w:eastAsia="Times New Roman" w:hAnsi="Times New Roman" w:cs="Times New Roman"/>
          <w:sz w:val="24"/>
          <w:szCs w:val="24"/>
          <w:lang w:val="en" w:eastAsia="da-DK"/>
        </w:rPr>
        <w:fldChar w:fldCharType="end"/>
      </w:r>
      <w:bookmarkEnd w:id="56"/>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 xml:space="preserve">97.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conditions of delivery shall be “free on truck” 1) shipside, or 2) wholesale storage facility, according to the purchaser’s request. Consequently,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be in charge of loading the product onto the truck at the agreed place of delivery, whereas the purchaser is responsible for arranging transportation and pays the costs of transportation from wholesale facilities or shipside to own (retail) storage facility or directly to the end-user.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57" w:name="_Toc128203472"/>
      <w:bookmarkEnd w:id="57"/>
      <w:r w:rsidRPr="00B102F4">
        <w:rPr>
          <w:rFonts w:ascii="Times New Roman" w:eastAsia="Times New Roman" w:hAnsi="Times New Roman" w:cs="Times New Roman"/>
          <w:b/>
          <w:bCs/>
          <w:sz w:val="27"/>
          <w:szCs w:val="27"/>
          <w:lang w:val="en" w:eastAsia="da-DK"/>
        </w:rPr>
        <w:t>Retail</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98. Wholesale services and retail services differ and are, according to the parties, only substitutable to a limited extent. For end-users purchasing large quantities, there may be some overlap as they can directly approach a wholesaler due to large take quantities.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99. Typically, retailers do not possess the same storage and logistics facilities as wholesalers and therefore purchase at a later point in time and much smaller quantities. End-users (farmers) may postpone their purchase of fertilizers while waiting for low prices to come about. Therefore, retailers mostly adjust their purchases according to seasonal demand of the farmers. This demand may vary from year to year depending on climatic circumstances, the chosen crops and the condition of the soil. On average, a retailer’s assortment of commercial fertilizers has a range of roughly 20-40 different types of commercial fertilizers.</w:t>
      </w:r>
      <w:bookmarkStart w:id="58" w:name="_ftnref25"/>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"_ftn25"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[25]</w:t>
      </w:r>
      <w:r w:rsidRPr="00B102F4">
        <w:rPr>
          <w:rFonts w:ascii="Times New Roman" w:eastAsia="Times New Roman" w:hAnsi="Times New Roman" w:cs="Times New Roman"/>
          <w:sz w:val="24"/>
          <w:szCs w:val="24"/>
          <w:lang w:val="en" w:eastAsia="da-DK"/>
        </w:rPr>
        <w:fldChar w:fldCharType="end"/>
      </w:r>
      <w:bookmarkEnd w:id="58"/>
      <w:r w:rsidRPr="00B102F4">
        <w:rPr>
          <w:rFonts w:ascii="Times New Roman" w:eastAsia="Times New Roman" w:hAnsi="Times New Roman" w:cs="Times New Roman"/>
          <w:sz w:val="24"/>
          <w:szCs w:val="24"/>
          <w:lang w:val="en" w:eastAsia="da-DK"/>
        </w:rPr>
        <w:t xml:space="preserve"> This typically makes it advantageous to be member of cooperatives such as DLG, DLA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as it may be difficult for a single retailer to sell a full shipload of each type of fertilizers within the area in which he is active.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100. Retailers add value to fertilizers by arranging transportation to end-users, by arranging credit facilities, by storing products up to and during the consumption period, and by offering farmers a range of products and brands to choose from. End-users pay the transport from retailer’s warehouses, but according to the parties, the retailer arranges for pick-up unless the end-user has chosen to pick up the products himself. It is also quite common that end-users choose to pick up fertilizers at retail storage facilities.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101. Typically, transportation to end-users takes place in bulk by trucks with a grab/crane. According to the parties, this is the case in 40-60 % of the deliveries, depending on the circumstances. In so far as big bags are concerned, 75-80 % of the fertilizers are delivered with unloading included (i.e. by a truck with crane). The services involved with delivery are paid by end-users but made available by retailers. Therefore, sales to Danish farmers require access to a distribution network endowed with a certain amount of trucks and the required loading/unloading equipment.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102. The increased use of big bags has made logistics easier for retailers, as it is possible to deliver big bags directly to customers without having to store the products before delivery.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103. Retailers are mainly located close to the end-users. Their customer knowledge and their customer relationship are of importance to the end-users. Typically, retailers carry a broad product portfolio, including insurance, telephony and energy. Often, trades occur where, for instance, farmer’s grain is traded with feed or seed corn. Some retailers also rent out equipment, e.g. fertilizer spreaders, to farmers. It is important for retailers to be positioned close to end-users in order to be able to deliver quickly upon demand. According to the parties, it is common for end-users to pick up their quantities of fertilizers successively from a retail storage facility concurrently with use. The geographical scope of retailers is thus often limited to a relatively small local area, close to their </w:t>
      </w:r>
      <w:r w:rsidRPr="00B102F4">
        <w:rPr>
          <w:rFonts w:ascii="Times New Roman" w:eastAsia="Times New Roman" w:hAnsi="Times New Roman" w:cs="Times New Roman"/>
          <w:sz w:val="24"/>
          <w:szCs w:val="24"/>
          <w:lang w:val="en" w:eastAsia="da-DK"/>
        </w:rPr>
        <w:lastRenderedPageBreak/>
        <w:t xml:space="preserve">storage facilities. Therefore, the retail segment is composed of a fine-meshed network of local divisions.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104. As the sale of fertilizers is often linked with the sale of other products, it is important for retailers to be active within all the 4 main areas: seeds, raw materials, crop protection and fertilizers. Seeds constitute the largest proportion of these four, whereas fertilizers amount to the smallest proportion; buyers will often choose retailers who are able to supply products from all four areas. Therefore, it is important for a retailer to be able to supply fertilizers, in order not to </w:t>
      </w:r>
      <w:proofErr w:type="spellStart"/>
      <w:r w:rsidRPr="00B102F4">
        <w:rPr>
          <w:rFonts w:ascii="Times New Roman" w:eastAsia="Times New Roman" w:hAnsi="Times New Roman" w:cs="Times New Roman"/>
          <w:sz w:val="24"/>
          <w:szCs w:val="24"/>
          <w:lang w:val="en" w:eastAsia="da-DK"/>
        </w:rPr>
        <w:t>loose</w:t>
      </w:r>
      <w:proofErr w:type="spellEnd"/>
      <w:r w:rsidRPr="00B102F4">
        <w:rPr>
          <w:rFonts w:ascii="Times New Roman" w:eastAsia="Times New Roman" w:hAnsi="Times New Roman" w:cs="Times New Roman"/>
          <w:sz w:val="24"/>
          <w:szCs w:val="24"/>
          <w:lang w:val="en" w:eastAsia="da-DK"/>
        </w:rPr>
        <w:t xml:space="preserve"> potential seed customers. DLG estimates that approximately [X] % of the company’s fertilizer customers also buy their seed from DLG, and that [X] % of the fertilizer customers sell their grain to DLG.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105. Discounts are mainly linked to quantity – up to X % of the price, corresponding </w:t>
      </w:r>
      <w:proofErr w:type="gramStart"/>
      <w:r w:rsidRPr="00B102F4">
        <w:rPr>
          <w:rFonts w:ascii="Times New Roman" w:eastAsia="Times New Roman" w:hAnsi="Times New Roman" w:cs="Times New Roman"/>
          <w:sz w:val="24"/>
          <w:szCs w:val="24"/>
          <w:lang w:val="en" w:eastAsia="da-DK"/>
        </w:rPr>
        <w:t>to</w:t>
      </w:r>
      <w:proofErr w:type="gramEnd"/>
      <w:r w:rsidRPr="00B102F4">
        <w:rPr>
          <w:rFonts w:ascii="Times New Roman" w:eastAsia="Times New Roman" w:hAnsi="Times New Roman" w:cs="Times New Roman"/>
          <w:sz w:val="24"/>
          <w:szCs w:val="24"/>
          <w:lang w:val="en" w:eastAsia="da-DK"/>
        </w:rPr>
        <w:t xml:space="preserve"> approximately [X] per ton. []. Discounts tied to other products are as a principal rule not used.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106. Besides rebates, it is relatively common for farmers to get credit, when purchasing fertilizers. According to the parties, DLG gives credit in connection with approximately [X] of the fertilizer sales, while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provides credit to approximately [X] Typically, credits are received in the period from orders are placed to the time of consumption, which is typically a period of 3-5 months. [].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107. DLG is active in the Danish retail market for fertilizers.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members are active in Jutland and on </w:t>
      </w:r>
      <w:proofErr w:type="spellStart"/>
      <w:r w:rsidRPr="00B102F4">
        <w:rPr>
          <w:rFonts w:ascii="Times New Roman" w:eastAsia="Times New Roman" w:hAnsi="Times New Roman" w:cs="Times New Roman"/>
          <w:sz w:val="24"/>
          <w:szCs w:val="24"/>
          <w:lang w:val="en" w:eastAsia="da-DK"/>
        </w:rPr>
        <w:t>Funen</w:t>
      </w:r>
      <w:proofErr w:type="spellEnd"/>
      <w:r w:rsidRPr="00B102F4">
        <w:rPr>
          <w:rFonts w:ascii="Times New Roman" w:eastAsia="Times New Roman" w:hAnsi="Times New Roman" w:cs="Times New Roman"/>
          <w:sz w:val="24"/>
          <w:szCs w:val="24"/>
          <w:lang w:val="en" w:eastAsia="da-DK"/>
        </w:rPr>
        <w:t xml:space="preserve">, and members of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act independently in the retail market. The largest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members are </w:t>
      </w:r>
      <w:proofErr w:type="spellStart"/>
      <w:r w:rsidRPr="00B102F4">
        <w:rPr>
          <w:rFonts w:ascii="Times New Roman" w:eastAsia="Times New Roman" w:hAnsi="Times New Roman" w:cs="Times New Roman"/>
          <w:sz w:val="24"/>
          <w:szCs w:val="24"/>
          <w:lang w:val="en" w:eastAsia="da-DK"/>
        </w:rPr>
        <w:t>Hedegaard</w:t>
      </w:r>
      <w:proofErr w:type="spellEnd"/>
      <w:r w:rsidRPr="00B102F4">
        <w:rPr>
          <w:rFonts w:ascii="Times New Roman" w:eastAsia="Times New Roman" w:hAnsi="Times New Roman" w:cs="Times New Roman"/>
          <w:sz w:val="24"/>
          <w:szCs w:val="24"/>
          <w:lang w:val="en" w:eastAsia="da-DK"/>
        </w:rPr>
        <w:t xml:space="preserve"> (Aalborg), </w:t>
      </w:r>
      <w:proofErr w:type="spellStart"/>
      <w:r w:rsidRPr="00B102F4">
        <w:rPr>
          <w:rFonts w:ascii="Times New Roman" w:eastAsia="Times New Roman" w:hAnsi="Times New Roman" w:cs="Times New Roman"/>
          <w:sz w:val="24"/>
          <w:szCs w:val="24"/>
          <w:lang w:val="en" w:eastAsia="da-DK"/>
        </w:rPr>
        <w:t>Hornsyld</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Købmandsgaard</w:t>
      </w:r>
      <w:proofErr w:type="spellEnd"/>
      <w:r w:rsidRPr="00B102F4">
        <w:rPr>
          <w:rFonts w:ascii="Times New Roman" w:eastAsia="Times New Roman" w:hAnsi="Times New Roman" w:cs="Times New Roman"/>
          <w:sz w:val="24"/>
          <w:szCs w:val="24"/>
          <w:lang w:val="en" w:eastAsia="da-DK"/>
        </w:rPr>
        <w:t xml:space="preserve"> (Eastern Jutland) and </w:t>
      </w:r>
      <w:proofErr w:type="spellStart"/>
      <w:r w:rsidRPr="00B102F4">
        <w:rPr>
          <w:rFonts w:ascii="Times New Roman" w:eastAsia="Times New Roman" w:hAnsi="Times New Roman" w:cs="Times New Roman"/>
          <w:sz w:val="24"/>
          <w:szCs w:val="24"/>
          <w:lang w:val="en" w:eastAsia="da-DK"/>
        </w:rPr>
        <w:t>Brdr</w:t>
      </w:r>
      <w:proofErr w:type="spellEnd"/>
      <w:r w:rsidRPr="00B102F4">
        <w:rPr>
          <w:rFonts w:ascii="Times New Roman" w:eastAsia="Times New Roman" w:hAnsi="Times New Roman" w:cs="Times New Roman"/>
          <w:sz w:val="24"/>
          <w:szCs w:val="24"/>
          <w:lang w:val="en" w:eastAsia="da-DK"/>
        </w:rPr>
        <w:t xml:space="preserve">. Ewers (Southern Jutland). Among the largest competitors to DLG and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members on the retail market are the members of DLA, especially: </w:t>
      </w:r>
      <w:proofErr w:type="spellStart"/>
      <w:r w:rsidRPr="00B102F4">
        <w:rPr>
          <w:rFonts w:ascii="Times New Roman" w:eastAsia="Times New Roman" w:hAnsi="Times New Roman" w:cs="Times New Roman"/>
          <w:sz w:val="24"/>
          <w:szCs w:val="24"/>
          <w:lang w:val="en" w:eastAsia="da-DK"/>
        </w:rPr>
        <w:t>Østsjællands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Andel</w:t>
      </w:r>
      <w:proofErr w:type="spellEnd"/>
      <w:r w:rsidRPr="00B102F4">
        <w:rPr>
          <w:rFonts w:ascii="Times New Roman" w:eastAsia="Times New Roman" w:hAnsi="Times New Roman" w:cs="Times New Roman"/>
          <w:sz w:val="24"/>
          <w:szCs w:val="24"/>
          <w:lang w:val="en" w:eastAsia="da-DK"/>
        </w:rPr>
        <w:t xml:space="preserve"> (domiciled in </w:t>
      </w:r>
      <w:proofErr w:type="spellStart"/>
      <w:r w:rsidRPr="00B102F4">
        <w:rPr>
          <w:rFonts w:ascii="Times New Roman" w:eastAsia="Times New Roman" w:hAnsi="Times New Roman" w:cs="Times New Roman"/>
          <w:sz w:val="24"/>
          <w:szCs w:val="24"/>
          <w:lang w:val="en" w:eastAsia="da-DK"/>
        </w:rPr>
        <w:t>Karise</w:t>
      </w:r>
      <w:proofErr w:type="spellEnd"/>
      <w:r w:rsidRPr="00B102F4">
        <w:rPr>
          <w:rFonts w:ascii="Times New Roman" w:eastAsia="Times New Roman" w:hAnsi="Times New Roman" w:cs="Times New Roman"/>
          <w:sz w:val="24"/>
          <w:szCs w:val="24"/>
          <w:lang w:val="en" w:eastAsia="da-DK"/>
        </w:rPr>
        <w:t xml:space="preserve"> but with departments on Lolland, </w:t>
      </w:r>
      <w:proofErr w:type="spellStart"/>
      <w:r w:rsidRPr="00B102F4">
        <w:rPr>
          <w:rFonts w:ascii="Times New Roman" w:eastAsia="Times New Roman" w:hAnsi="Times New Roman" w:cs="Times New Roman"/>
          <w:sz w:val="24"/>
          <w:szCs w:val="24"/>
          <w:lang w:val="en" w:eastAsia="da-DK"/>
        </w:rPr>
        <w:t>Funen</w:t>
      </w:r>
      <w:proofErr w:type="spellEnd"/>
      <w:r w:rsidRPr="00B102F4">
        <w:rPr>
          <w:rFonts w:ascii="Times New Roman" w:eastAsia="Times New Roman" w:hAnsi="Times New Roman" w:cs="Times New Roman"/>
          <w:sz w:val="24"/>
          <w:szCs w:val="24"/>
          <w:lang w:val="en" w:eastAsia="da-DK"/>
        </w:rPr>
        <w:t xml:space="preserve"> and Western Jutland), </w:t>
      </w:r>
      <w:proofErr w:type="spellStart"/>
      <w:r w:rsidRPr="00B102F4">
        <w:rPr>
          <w:rFonts w:ascii="Times New Roman" w:eastAsia="Times New Roman" w:hAnsi="Times New Roman" w:cs="Times New Roman"/>
          <w:sz w:val="24"/>
          <w:szCs w:val="24"/>
          <w:lang w:val="en" w:eastAsia="da-DK"/>
        </w:rPr>
        <w:t>Nordjysk</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Andel</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Vendsyssel</w:t>
      </w:r>
      <w:proofErr w:type="spellEnd"/>
      <w:r w:rsidRPr="00B102F4">
        <w:rPr>
          <w:rFonts w:ascii="Times New Roman" w:eastAsia="Times New Roman" w:hAnsi="Times New Roman" w:cs="Times New Roman"/>
          <w:sz w:val="24"/>
          <w:szCs w:val="24"/>
          <w:lang w:val="en" w:eastAsia="da-DK"/>
        </w:rPr>
        <w:t xml:space="preserve">) and KOF &amp; </w:t>
      </w:r>
      <w:proofErr w:type="spellStart"/>
      <w:r w:rsidRPr="00B102F4">
        <w:rPr>
          <w:rFonts w:ascii="Times New Roman" w:eastAsia="Times New Roman" w:hAnsi="Times New Roman" w:cs="Times New Roman"/>
          <w:sz w:val="24"/>
          <w:szCs w:val="24"/>
          <w:lang w:val="en" w:eastAsia="da-DK"/>
        </w:rPr>
        <w:t>Sydvestjysk</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Andel</w:t>
      </w:r>
      <w:proofErr w:type="spellEnd"/>
      <w:r w:rsidRPr="00B102F4">
        <w:rPr>
          <w:rFonts w:ascii="Times New Roman" w:eastAsia="Times New Roman" w:hAnsi="Times New Roman" w:cs="Times New Roman"/>
          <w:sz w:val="24"/>
          <w:szCs w:val="24"/>
          <w:lang w:val="en" w:eastAsia="da-DK"/>
        </w:rPr>
        <w:t xml:space="preserve"> (Southern Jutland). Outside these groups are </w:t>
      </w:r>
      <w:proofErr w:type="spellStart"/>
      <w:r w:rsidRPr="00B102F4">
        <w:rPr>
          <w:rFonts w:ascii="Times New Roman" w:eastAsia="Times New Roman" w:hAnsi="Times New Roman" w:cs="Times New Roman"/>
          <w:sz w:val="24"/>
          <w:szCs w:val="24"/>
          <w:lang w:val="en" w:eastAsia="da-DK"/>
        </w:rPr>
        <w:t>Aarhusegnens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Andel</w:t>
      </w:r>
      <w:proofErr w:type="spellEnd"/>
      <w:r w:rsidRPr="00B102F4">
        <w:rPr>
          <w:rFonts w:ascii="Times New Roman" w:eastAsia="Times New Roman" w:hAnsi="Times New Roman" w:cs="Times New Roman"/>
          <w:sz w:val="24"/>
          <w:szCs w:val="24"/>
          <w:lang w:val="en" w:eastAsia="da-DK"/>
        </w:rPr>
        <w:t xml:space="preserve"> and a number of (very) small local companies.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108. As mentioned in paragraph 94, some of DLG and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storage facilities are to be leased by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The remaining storage capacity will still be used as retail storage facilities by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members and by DLG for fertilizers and other products.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109. The parties submit that the current retail distribution system, i.e. from wholesale facility to retailer/end-user will not substantially change with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However, the parties expect that synergies obtained through the establishing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be passed on to retailers.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59" w:name="_Toc128203473"/>
      <w:bookmarkEnd w:id="59"/>
      <w:r w:rsidRPr="00B102F4">
        <w:rPr>
          <w:rFonts w:ascii="Times New Roman" w:eastAsia="Times New Roman" w:hAnsi="Times New Roman" w:cs="Times New Roman"/>
          <w:b/>
          <w:bCs/>
          <w:sz w:val="27"/>
          <w:szCs w:val="27"/>
          <w:lang w:val="en" w:eastAsia="da-DK"/>
        </w:rPr>
        <w:t xml:space="preserve">End-users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110. The end-users are farmers (plants growers). According to the parties, most farmers are advised by independent consultants, cf. the obligation to submit fertilizer plans and accounts to the Plant Directorate. The consultants suggest which type of fertilizers to purchase. As the consultants have recommended certain products, farmers, according to the parties, from time to time take in offers from different retailers.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111. Farmers do not have storage facilities to buy large quantities directly from fertilizer producers. In Denmark, all fertilizers are primarily bought either from retailers or wholesalers, and according </w:t>
      </w:r>
      <w:r w:rsidRPr="00B102F4">
        <w:rPr>
          <w:rFonts w:ascii="Times New Roman" w:eastAsia="Times New Roman" w:hAnsi="Times New Roman" w:cs="Times New Roman"/>
          <w:sz w:val="24"/>
          <w:szCs w:val="24"/>
          <w:lang w:val="en" w:eastAsia="da-DK"/>
        </w:rPr>
        <w:lastRenderedPageBreak/>
        <w:t xml:space="preserve">to the parties end-users purchase most of their fertilizers in November/December or later, for delivery when most convenient (often “just-in-time”).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112. According to the parties, a farmer with 100 hectare and no livestock uses 75 tons fertilizers each year, amounting to approximately DKK112,500/EUR 15,000 (corresponding to roughly 15 % of the farmer’s turnover from this farm land).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113. Most farmers are members of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co-operatives (</w:t>
      </w:r>
      <w:proofErr w:type="spellStart"/>
      <w:r w:rsidRPr="00B102F4">
        <w:rPr>
          <w:rFonts w:ascii="Times New Roman" w:eastAsia="Times New Roman" w:hAnsi="Times New Roman" w:cs="Times New Roman"/>
          <w:sz w:val="24"/>
          <w:szCs w:val="24"/>
          <w:lang w:val="en" w:eastAsia="da-DK"/>
        </w:rPr>
        <w:t>a.o.</w:t>
      </w:r>
      <w:proofErr w:type="spellEnd"/>
      <w:r w:rsidRPr="00B102F4">
        <w:rPr>
          <w:rFonts w:ascii="Times New Roman" w:eastAsia="Times New Roman" w:hAnsi="Times New Roman" w:cs="Times New Roman"/>
          <w:sz w:val="24"/>
          <w:szCs w:val="24"/>
          <w:lang w:val="en" w:eastAsia="da-DK"/>
        </w:rPr>
        <w:t xml:space="preserve"> DLG and members of DLA). Farmers belonging to a co-operative are under no obligation to buy fertilizers from their co-operative. However</w:t>
      </w:r>
      <w:proofErr w:type="gramStart"/>
      <w:r w:rsidRPr="00B102F4">
        <w:rPr>
          <w:rFonts w:ascii="Times New Roman" w:eastAsia="Times New Roman" w:hAnsi="Times New Roman" w:cs="Times New Roman"/>
          <w:sz w:val="24"/>
          <w:szCs w:val="24"/>
          <w:lang w:val="en" w:eastAsia="da-DK"/>
        </w:rPr>
        <w:t>, ”</w:t>
      </w:r>
      <w:proofErr w:type="gramEnd"/>
      <w:r w:rsidRPr="00B102F4">
        <w:rPr>
          <w:rFonts w:ascii="Times New Roman" w:eastAsia="Times New Roman" w:hAnsi="Times New Roman" w:cs="Times New Roman"/>
          <w:sz w:val="24"/>
          <w:szCs w:val="24"/>
          <w:lang w:val="en" w:eastAsia="da-DK"/>
        </w:rPr>
        <w:t xml:space="preserve">Residual payment” is an integrated part of the principle of co-operatives, where the co-operative’s surplus is divided among the members according to their share of the turnover. This may induce farmers to primarily trade with their own co-operative society. On the other hand, there may also be some kind of loyalty towards private companies from farmers who are not members of any co-operative.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60" w:name="_Toc128203474"/>
      <w:bookmarkEnd w:id="60"/>
      <w:r w:rsidRPr="00B102F4">
        <w:rPr>
          <w:rFonts w:ascii="Times New Roman" w:eastAsia="Times New Roman" w:hAnsi="Times New Roman" w:cs="Times New Roman"/>
          <w:b/>
          <w:bCs/>
          <w:sz w:val="27"/>
          <w:szCs w:val="27"/>
          <w:lang w:val="en" w:eastAsia="da-DK"/>
        </w:rPr>
        <w:t>Conclusion on the relevant product market(s)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114. The parties submit that the relevant, affected market is the market for wholesale of commercial fertilizers in Denmark.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115. The DCA agrees (cf. above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56) that – for the purpose of the present case – the relevant product is commercial fertilizers – including both liquid and solid commercial fertilizers.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116. In the present case, however, an exact definition of the relevant product market is not necessary, as the assessment of the impact of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would not change significantly according to the market in question whichever definition, wide or narrow.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117. In the opinion of the DCA, the production, wholesale and retail markets for commercial fertilizers cannot be separated; all levels in the value chain are closely linked, and the borderlines between the levels/segments are fluid even though activities in the different levels are distinct, depending on the level in question. It would thus appear necessary to view and assess the entire value chain together, because the undertakings concerned are active in all segments, and because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have an effect throughout the whole value chain.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118. The DCA will thus assess the effects of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on both the fertilizer production, wholesale and retail levels of the value chain.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61" w:name="_Toc128203475"/>
      <w:bookmarkEnd w:id="61"/>
      <w:r w:rsidRPr="00B102F4">
        <w:rPr>
          <w:rFonts w:ascii="Times New Roman" w:eastAsia="Times New Roman" w:hAnsi="Times New Roman" w:cs="Times New Roman"/>
          <w:b/>
          <w:bCs/>
          <w:sz w:val="36"/>
          <w:szCs w:val="36"/>
          <w:lang w:val="en" w:eastAsia="da-DK"/>
        </w:rPr>
        <w:t>Relevant geographic market(s)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119. The parties state that the </w:t>
      </w:r>
      <w:r w:rsidRPr="00B102F4">
        <w:rPr>
          <w:rFonts w:ascii="Times New Roman" w:eastAsia="Times New Roman" w:hAnsi="Times New Roman" w:cs="Times New Roman"/>
          <w:i/>
          <w:iCs/>
          <w:sz w:val="24"/>
          <w:szCs w:val="24"/>
          <w:lang w:val="en" w:eastAsia="da-DK"/>
        </w:rPr>
        <w:t>production market</w:t>
      </w:r>
      <w:r w:rsidRPr="00B102F4">
        <w:rPr>
          <w:rFonts w:ascii="Times New Roman" w:eastAsia="Times New Roman" w:hAnsi="Times New Roman" w:cs="Times New Roman"/>
          <w:sz w:val="24"/>
          <w:szCs w:val="24"/>
          <w:lang w:val="en" w:eastAsia="da-DK"/>
        </w:rPr>
        <w:t xml:space="preserve"> is at least the EEA. Since distance has limited impact on shipping costs and costs of train transportation, the production (and trading) market is not limited to the proximity of the producing units; products will find their way to the consumers (wholesalers/traders), irrespective of geographic distance.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120. The parties submit that both </w:t>
      </w:r>
      <w:r w:rsidRPr="00B102F4">
        <w:rPr>
          <w:rFonts w:ascii="Times New Roman" w:eastAsia="Times New Roman" w:hAnsi="Times New Roman" w:cs="Times New Roman"/>
          <w:i/>
          <w:iCs/>
          <w:sz w:val="24"/>
          <w:szCs w:val="24"/>
          <w:lang w:val="en" w:eastAsia="da-DK"/>
        </w:rPr>
        <w:t>the wholesale and retail markets</w:t>
      </w:r>
      <w:r w:rsidRPr="00B102F4">
        <w:rPr>
          <w:rFonts w:ascii="Times New Roman" w:eastAsia="Times New Roman" w:hAnsi="Times New Roman" w:cs="Times New Roman"/>
          <w:sz w:val="24"/>
          <w:szCs w:val="24"/>
          <w:lang w:val="en" w:eastAsia="da-DK"/>
        </w:rPr>
        <w:t xml:space="preserve"> are national. Danish soil is characterized by requiring relatively large amounts of </w:t>
      </w:r>
      <w:proofErr w:type="spellStart"/>
      <w:r w:rsidRPr="00B102F4">
        <w:rPr>
          <w:rFonts w:ascii="Times New Roman" w:eastAsia="Times New Roman" w:hAnsi="Times New Roman" w:cs="Times New Roman"/>
          <w:sz w:val="24"/>
          <w:szCs w:val="24"/>
          <w:lang w:val="en" w:eastAsia="da-DK"/>
        </w:rPr>
        <w:t>sulphur</w:t>
      </w:r>
      <w:proofErr w:type="spellEnd"/>
      <w:r w:rsidRPr="00B102F4">
        <w:rPr>
          <w:rFonts w:ascii="Times New Roman" w:eastAsia="Times New Roman" w:hAnsi="Times New Roman" w:cs="Times New Roman"/>
          <w:sz w:val="24"/>
          <w:szCs w:val="24"/>
          <w:lang w:val="en" w:eastAsia="da-DK"/>
        </w:rPr>
        <w:t xml:space="preserve"> to be added, and that differentiates the Danish fertilizer market from e.g. the German fertilizer market. Wholesalers are all national </w:t>
      </w:r>
      <w:r w:rsidRPr="00B102F4">
        <w:rPr>
          <w:rFonts w:ascii="Times New Roman" w:eastAsia="Times New Roman" w:hAnsi="Times New Roman" w:cs="Times New Roman"/>
          <w:sz w:val="24"/>
          <w:szCs w:val="24"/>
          <w:lang w:val="en" w:eastAsia="da-DK"/>
        </w:rPr>
        <w:lastRenderedPageBreak/>
        <w:t xml:space="preserve">companies. Due to the geography of Denmark, only limited volumes are sold from Germany to Denmark and vice versa. Also, the parties submit, hardly any products are sold from wholesalers in Sweden to Denmark due to the cost of transportation across the bridge. Accordingly, a wholesaler needs to be present nationally/locally to compete.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121. It can be argued, that the retail market is even narrower than national, e.g. local covering an approximated distance of less than 100 km from the retailer’s premises. However, the parties’ premises (storage facilities) are spread throughout Denmark as are their competitors, cf.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95 and 96 above; prices of fertilizers are quite similar throughout Denmark, and the competitive conditions are the same in all over Denmark. This applies regardless of regional variations in consumption, cf. Table 5.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122. In 2002, the DCA concluded that the relevant geographic market was the Danish market for commercial fertilizers.</w:t>
      </w:r>
      <w:bookmarkStart w:id="62" w:name="_ftnref26"/>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"_ftn26"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[26]</w:t>
      </w:r>
      <w:r w:rsidRPr="00B102F4">
        <w:rPr>
          <w:rFonts w:ascii="Times New Roman" w:eastAsia="Times New Roman" w:hAnsi="Times New Roman" w:cs="Times New Roman"/>
          <w:sz w:val="24"/>
          <w:szCs w:val="24"/>
          <w:lang w:val="en" w:eastAsia="da-DK"/>
        </w:rPr>
        <w:fldChar w:fldCharType="end"/>
      </w:r>
      <w:bookmarkEnd w:id="62"/>
      <w:r w:rsidRPr="00B102F4">
        <w:rPr>
          <w:rFonts w:ascii="Times New Roman" w:eastAsia="Times New Roman" w:hAnsi="Times New Roman" w:cs="Times New Roman"/>
          <w:sz w:val="24"/>
          <w:szCs w:val="24"/>
          <w:lang w:val="en" w:eastAsia="da-DK"/>
        </w:rPr>
        <w:t xml:space="preserve"> No distinctions between wholesale and retail were made.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63" w:name="_Toc128203476"/>
      <w:bookmarkEnd w:id="63"/>
      <w:r w:rsidRPr="00B102F4">
        <w:rPr>
          <w:rFonts w:ascii="Times New Roman" w:eastAsia="Times New Roman" w:hAnsi="Times New Roman" w:cs="Times New Roman"/>
          <w:b/>
          <w:bCs/>
          <w:sz w:val="27"/>
          <w:szCs w:val="27"/>
          <w:lang w:val="en" w:eastAsia="da-DK"/>
        </w:rPr>
        <w:t>Conclusion on the relevant geographic market(s)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123. The exact delimitation of the geographic scope of the production market can be left open. It is not necessary to define the scope more specifically, as no competition concerns arise in this market – regardless of whether it is the EEA, wider or narrower.</w:t>
      </w:r>
      <w:bookmarkStart w:id="64" w:name="_ftnref27"/>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"_ftn27"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[27]</w:t>
      </w:r>
      <w:r w:rsidRPr="00B102F4">
        <w:rPr>
          <w:rFonts w:ascii="Times New Roman" w:eastAsia="Times New Roman" w:hAnsi="Times New Roman" w:cs="Times New Roman"/>
          <w:sz w:val="24"/>
          <w:szCs w:val="24"/>
          <w:lang w:val="en" w:eastAsia="da-DK"/>
        </w:rPr>
        <w:fldChar w:fldCharType="end"/>
      </w:r>
      <w:bookmarkEnd w:id="64"/>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124. The DCA agrees that the wholesale market is national given that, once the products enter Denmark, no resale to </w:t>
      </w:r>
      <w:proofErr w:type="spellStart"/>
      <w:r w:rsidRPr="00B102F4">
        <w:rPr>
          <w:rFonts w:ascii="Times New Roman" w:eastAsia="Times New Roman" w:hAnsi="Times New Roman" w:cs="Times New Roman"/>
          <w:sz w:val="24"/>
          <w:szCs w:val="24"/>
          <w:lang w:val="en" w:eastAsia="da-DK"/>
        </w:rPr>
        <w:t>neighbouring</w:t>
      </w:r>
      <w:proofErr w:type="spellEnd"/>
      <w:r w:rsidRPr="00B102F4">
        <w:rPr>
          <w:rFonts w:ascii="Times New Roman" w:eastAsia="Times New Roman" w:hAnsi="Times New Roman" w:cs="Times New Roman"/>
          <w:sz w:val="24"/>
          <w:szCs w:val="24"/>
          <w:lang w:val="en" w:eastAsia="da-DK"/>
        </w:rPr>
        <w:t xml:space="preserve"> countries worth mentioning takes place and vice versa. Ships arrive and unload their whole cargo in one </w:t>
      </w:r>
      <w:proofErr w:type="spellStart"/>
      <w:r w:rsidRPr="00B102F4">
        <w:rPr>
          <w:rFonts w:ascii="Times New Roman" w:eastAsia="Times New Roman" w:hAnsi="Times New Roman" w:cs="Times New Roman"/>
          <w:sz w:val="24"/>
          <w:szCs w:val="24"/>
          <w:lang w:val="en" w:eastAsia="da-DK"/>
        </w:rPr>
        <w:t>harbour</w:t>
      </w:r>
      <w:proofErr w:type="spellEnd"/>
      <w:r w:rsidRPr="00B102F4">
        <w:rPr>
          <w:rFonts w:ascii="Times New Roman" w:eastAsia="Times New Roman" w:hAnsi="Times New Roman" w:cs="Times New Roman"/>
          <w:sz w:val="24"/>
          <w:szCs w:val="24"/>
          <w:lang w:val="en" w:eastAsia="da-DK"/>
        </w:rPr>
        <w:t xml:space="preserve">, from where it is distributed to the appropriate storage facilities in the vicinity of the </w:t>
      </w:r>
      <w:proofErr w:type="spellStart"/>
      <w:r w:rsidRPr="00B102F4">
        <w:rPr>
          <w:rFonts w:ascii="Times New Roman" w:eastAsia="Times New Roman" w:hAnsi="Times New Roman" w:cs="Times New Roman"/>
          <w:sz w:val="24"/>
          <w:szCs w:val="24"/>
          <w:lang w:val="en" w:eastAsia="da-DK"/>
        </w:rPr>
        <w:t>harbour</w:t>
      </w:r>
      <w:proofErr w:type="spellEnd"/>
      <w:r w:rsidRPr="00B102F4">
        <w:rPr>
          <w:rFonts w:ascii="Times New Roman" w:eastAsia="Times New Roman" w:hAnsi="Times New Roman" w:cs="Times New Roman"/>
          <w:sz w:val="24"/>
          <w:szCs w:val="24"/>
          <w:lang w:val="en" w:eastAsia="da-DK"/>
        </w:rPr>
        <w:t xml:space="preserve"> – either at a retailer or a farmer.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125. Considering retail sale, it could be argued that the geographic scope is narrower than national. In the present case it is, however, not necessary to define the market narrower than national, since the assessment would not change significantly depending on the geographic delimitation.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126. The DCA will thus assess the effects of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in Denmark, where the proposed transaction will have its primary effect.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65" w:name="_Toc128203477"/>
      <w:bookmarkEnd w:id="65"/>
      <w:r w:rsidRPr="00B102F4">
        <w:rPr>
          <w:rFonts w:ascii="Times New Roman" w:eastAsia="Times New Roman" w:hAnsi="Times New Roman" w:cs="Times New Roman"/>
          <w:b/>
          <w:bCs/>
          <w:sz w:val="36"/>
          <w:szCs w:val="36"/>
          <w:lang w:val="en" w:eastAsia="da-DK"/>
        </w:rPr>
        <w:t xml:space="preserve">The parties’ position in the relevant market(s)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127. Vertically, the parties will have activities on all levels in the value chain. On the production level,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has a market share of 15-25 % in both the EEA and Denmark, on the wholesale level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have a market share of 55-60 %, and on the retail level, DLG has a market share of 40-50 % and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members</w:t>
      </w:r>
      <w:bookmarkStart w:id="66" w:name="_ftnref28"/>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"_ftn28"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[28]</w:t>
      </w:r>
      <w:r w:rsidRPr="00B102F4">
        <w:rPr>
          <w:rFonts w:ascii="Times New Roman" w:eastAsia="Times New Roman" w:hAnsi="Times New Roman" w:cs="Times New Roman"/>
          <w:sz w:val="24"/>
          <w:szCs w:val="24"/>
          <w:lang w:val="en" w:eastAsia="da-DK"/>
        </w:rPr>
        <w:fldChar w:fldCharType="end"/>
      </w:r>
      <w:bookmarkEnd w:id="66"/>
      <w:r w:rsidRPr="00B102F4">
        <w:rPr>
          <w:rFonts w:ascii="Times New Roman" w:eastAsia="Times New Roman" w:hAnsi="Times New Roman" w:cs="Times New Roman"/>
          <w:sz w:val="24"/>
          <w:szCs w:val="24"/>
          <w:lang w:val="en" w:eastAsia="da-DK"/>
        </w:rPr>
        <w:t xml:space="preserve"> have a combined share of 5-15 %, cf. Table 7 below.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128. No </w:t>
      </w:r>
      <w:proofErr w:type="gramStart"/>
      <w:r w:rsidRPr="00B102F4">
        <w:rPr>
          <w:rFonts w:ascii="Times New Roman" w:eastAsia="Times New Roman" w:hAnsi="Times New Roman" w:cs="Times New Roman"/>
          <w:sz w:val="24"/>
          <w:szCs w:val="24"/>
          <w:lang w:val="en" w:eastAsia="da-DK"/>
        </w:rPr>
        <w:t>competitors</w:t>
      </w:r>
      <w:bookmarkStart w:id="67" w:name="_ftnref29"/>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"_ftn29"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[29]</w:t>
      </w:r>
      <w:r w:rsidRPr="00B102F4">
        <w:rPr>
          <w:rFonts w:ascii="Times New Roman" w:eastAsia="Times New Roman" w:hAnsi="Times New Roman" w:cs="Times New Roman"/>
          <w:sz w:val="24"/>
          <w:szCs w:val="24"/>
          <w:lang w:val="en" w:eastAsia="da-DK"/>
        </w:rPr>
        <w:fldChar w:fldCharType="end"/>
      </w:r>
      <w:bookmarkEnd w:id="67"/>
      <w:r w:rsidRPr="00B102F4">
        <w:rPr>
          <w:rFonts w:ascii="Times New Roman" w:eastAsia="Times New Roman" w:hAnsi="Times New Roman" w:cs="Times New Roman"/>
          <w:sz w:val="24"/>
          <w:szCs w:val="24"/>
          <w:lang w:val="en" w:eastAsia="da-DK"/>
        </w:rPr>
        <w:t xml:space="preserve"> are vertically integrated in the same way as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DLA Agro and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have announced a cooperation very similar to that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but it has not been </w:t>
      </w:r>
      <w:proofErr w:type="spellStart"/>
      <w:r w:rsidRPr="00B102F4">
        <w:rPr>
          <w:rFonts w:ascii="Times New Roman" w:eastAsia="Times New Roman" w:hAnsi="Times New Roman" w:cs="Times New Roman"/>
          <w:sz w:val="24"/>
          <w:szCs w:val="24"/>
          <w:lang w:val="en" w:eastAsia="da-DK"/>
        </w:rPr>
        <w:t>materialised</w:t>
      </w:r>
      <w:proofErr w:type="spellEnd"/>
      <w:r w:rsidRPr="00B102F4">
        <w:rPr>
          <w:rFonts w:ascii="Times New Roman" w:eastAsia="Times New Roman" w:hAnsi="Times New Roman" w:cs="Times New Roman"/>
          <w:sz w:val="24"/>
          <w:szCs w:val="24"/>
          <w:lang w:val="en" w:eastAsia="da-DK"/>
        </w:rPr>
        <w:t xml:space="preserve"> as of yet. Until now, most competitors in the fertilizer markets are only active in one level of the value chain, e.g.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in production with a share of 30-40 %, DLA Agro/DLA Agro members in wholesale and retail with a share of 1/3 of each level, and </w:t>
      </w:r>
      <w:proofErr w:type="spellStart"/>
      <w:r w:rsidRPr="00B102F4">
        <w:rPr>
          <w:rFonts w:ascii="Times New Roman" w:eastAsia="Times New Roman" w:hAnsi="Times New Roman" w:cs="Times New Roman"/>
          <w:sz w:val="24"/>
          <w:szCs w:val="24"/>
          <w:lang w:val="en" w:eastAsia="da-DK"/>
        </w:rPr>
        <w:t>Aarhusegnens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Andel</w:t>
      </w:r>
      <w:proofErr w:type="spellEnd"/>
      <w:r w:rsidRPr="00B102F4">
        <w:rPr>
          <w:rFonts w:ascii="Times New Roman" w:eastAsia="Times New Roman" w:hAnsi="Times New Roman" w:cs="Times New Roman"/>
          <w:sz w:val="24"/>
          <w:szCs w:val="24"/>
          <w:lang w:val="en" w:eastAsia="da-DK"/>
        </w:rPr>
        <w:t xml:space="preserve"> with a share of nearly 5 % in both wholesale and retail.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 xml:space="preserve">129. Horizontally, the parties have overlapping activities in wholesale which will be transferred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effectively in retail, too. In this way,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obtain a market share of 55-60 % in the wholesale market and preferred access to 55-60 % of the distribution network.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130. The closest competitors to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are, as mentioned just above, DLA Agro/DLA Agro members and </w:t>
      </w:r>
      <w:proofErr w:type="spellStart"/>
      <w:r w:rsidRPr="00B102F4">
        <w:rPr>
          <w:rFonts w:ascii="Times New Roman" w:eastAsia="Times New Roman" w:hAnsi="Times New Roman" w:cs="Times New Roman"/>
          <w:sz w:val="24"/>
          <w:szCs w:val="24"/>
          <w:lang w:val="en" w:eastAsia="da-DK"/>
        </w:rPr>
        <w:t>Aarhusegnens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Andel</w:t>
      </w:r>
      <w:proofErr w:type="spellEnd"/>
      <w:r w:rsidRPr="00B102F4">
        <w:rPr>
          <w:rFonts w:ascii="Times New Roman" w:eastAsia="Times New Roman" w:hAnsi="Times New Roman" w:cs="Times New Roman"/>
          <w:sz w:val="24"/>
          <w:szCs w:val="24"/>
          <w:lang w:val="en" w:eastAsia="da-DK"/>
        </w:rPr>
        <w:t xml:space="preserve">. The closest competitor to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is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b/>
          <w:bCs/>
          <w:sz w:val="24"/>
          <w:szCs w:val="24"/>
          <w:lang w:val="en" w:eastAsia="da-DK"/>
        </w:rPr>
        <w:t>Table 7: The parties’ market shares – fertilizer years 2002/05</w:t>
      </w:r>
    </w:p>
    <w:tbl>
      <w:tblPr>
        <w:tblW w:w="275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5"/>
        <w:gridCol w:w="667"/>
        <w:gridCol w:w="667"/>
        <w:gridCol w:w="667"/>
        <w:gridCol w:w="667"/>
        <w:gridCol w:w="667"/>
        <w:gridCol w:w="667"/>
        <w:gridCol w:w="667"/>
        <w:gridCol w:w="667"/>
        <w:gridCol w:w="682"/>
      </w:tblGrid>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Production</w:t>
            </w:r>
            <w:proofErr w:type="spellEnd"/>
          </w:p>
        </w:tc>
        <w:tc>
          <w:tcPr>
            <w:tcW w:w="0" w:type="auto"/>
            <w:gridSpan w:val="3"/>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Wholesale</w:t>
            </w:r>
          </w:p>
        </w:tc>
        <w:tc>
          <w:tcPr>
            <w:tcW w:w="0" w:type="auto"/>
            <w:gridSpan w:val="3"/>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Retail</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Fertilizer</w:t>
            </w:r>
            <w:proofErr w:type="spellEnd"/>
            <w:r w:rsidRPr="00B102F4">
              <w:rPr>
                <w:rFonts w:ascii="Times New Roman" w:eastAsia="Times New Roman" w:hAnsi="Times New Roman" w:cs="Times New Roman"/>
                <w:b/>
                <w:bCs/>
                <w:sz w:val="24"/>
                <w:szCs w:val="24"/>
                <w:lang w:eastAsia="da-DK"/>
              </w:rPr>
              <w:t xml:space="preserve"> </w:t>
            </w:r>
            <w:proofErr w:type="spellStart"/>
            <w:r w:rsidRPr="00B102F4">
              <w:rPr>
                <w:rFonts w:ascii="Times New Roman" w:eastAsia="Times New Roman" w:hAnsi="Times New Roman" w:cs="Times New Roman"/>
                <w:b/>
                <w:bCs/>
                <w:sz w:val="24"/>
                <w:szCs w:val="24"/>
                <w:lang w:eastAsia="da-DK"/>
              </w:rPr>
              <w:t>year</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02/03</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03/04</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04/05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02/03</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03/04</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04/05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02/03</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03/04</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04/05</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Yara</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DLG</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40-50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40-50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40-50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40-50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40-50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40-50</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AgroDK</w:t>
            </w:r>
            <w:proofErr w:type="spellEnd"/>
            <w:r w:rsidRPr="00B102F4">
              <w:rPr>
                <w:rFonts w:ascii="Times New Roman" w:eastAsia="Times New Roman" w:hAnsi="Times New Roman" w:cs="Times New Roman"/>
                <w:b/>
                <w:bCs/>
                <w:sz w:val="24"/>
                <w:szCs w:val="24"/>
                <w:lang w:eastAsia="da-DK"/>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5-15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5-15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5-15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AgroDK</w:t>
            </w:r>
            <w:proofErr w:type="spellEnd"/>
            <w:r w:rsidRPr="00B102F4">
              <w:rPr>
                <w:rFonts w:ascii="Times New Roman" w:eastAsia="Times New Roman" w:hAnsi="Times New Roman" w:cs="Times New Roman"/>
                <w:b/>
                <w:bCs/>
                <w:sz w:val="24"/>
                <w:szCs w:val="24"/>
                <w:lang w:eastAsia="da-DK"/>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5-15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5-15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sz w:val="24"/>
                <w:szCs w:val="24"/>
                <w:lang w:eastAsia="da-DK"/>
              </w:rPr>
              <w:t>5-15</w:t>
            </w:r>
          </w:p>
        </w:tc>
      </w:tr>
      <w:tr w:rsidR="00B102F4" w:rsidRPr="00B102F4" w:rsidTr="00B102F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B102F4">
              <w:rPr>
                <w:rFonts w:ascii="Times New Roman" w:eastAsia="Times New Roman" w:hAnsi="Times New Roman" w:cs="Times New Roman"/>
                <w:b/>
                <w:bCs/>
                <w:sz w:val="24"/>
                <w:szCs w:val="24"/>
                <w:lang w:eastAsia="da-DK"/>
              </w:rPr>
              <w:t>Ferti</w:t>
            </w:r>
            <w:proofErr w:type="spellEnd"/>
            <w:r w:rsidRPr="00B102F4">
              <w:rPr>
                <w:rFonts w:ascii="Times New Roman" w:eastAsia="Times New Roman" w:hAnsi="Times New Roman" w:cs="Times New Roman"/>
                <w:b/>
                <w:bCs/>
                <w:sz w:val="24"/>
                <w:szCs w:val="24"/>
                <w:lang w:eastAsia="da-DK"/>
              </w:rPr>
              <w:t xml:space="preserve"> Supply</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55-60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55-60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55-60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55-60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55-60</w:t>
            </w:r>
          </w:p>
        </w:tc>
        <w:tc>
          <w:tcPr>
            <w:tcW w:w="0" w:type="auto"/>
            <w:tcBorders>
              <w:top w:val="outset" w:sz="6" w:space="0" w:color="auto"/>
              <w:left w:val="outset" w:sz="6" w:space="0" w:color="auto"/>
              <w:bottom w:val="outset" w:sz="6" w:space="0" w:color="auto"/>
              <w:right w:val="outset" w:sz="6" w:space="0" w:color="auto"/>
            </w:tcBorders>
            <w:hideMark/>
          </w:tcPr>
          <w:p w:rsidR="00B102F4" w:rsidRPr="00B102F4" w:rsidRDefault="00B102F4" w:rsidP="00B102F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B102F4">
              <w:rPr>
                <w:rFonts w:ascii="Times New Roman" w:eastAsia="Times New Roman" w:hAnsi="Times New Roman" w:cs="Times New Roman"/>
                <w:b/>
                <w:bCs/>
                <w:sz w:val="24"/>
                <w:szCs w:val="24"/>
                <w:lang w:eastAsia="da-DK"/>
              </w:rPr>
              <w:t>55-60</w:t>
            </w:r>
          </w:p>
        </w:tc>
      </w:tr>
    </w:tbl>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Source: Parties’ estimates and the DCA’s compilation.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131. The DCA will assess the overall impact of the vertical integration following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its effects – both vertically and horizontally – in the different levels of the value chain.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68" w:name="_Toc128203478"/>
      <w:bookmarkEnd w:id="68"/>
      <w:r w:rsidRPr="00B102F4">
        <w:rPr>
          <w:rFonts w:ascii="Times New Roman" w:eastAsia="Times New Roman" w:hAnsi="Times New Roman" w:cs="Times New Roman"/>
          <w:b/>
          <w:bCs/>
          <w:sz w:val="36"/>
          <w:szCs w:val="36"/>
          <w:lang w:val="en" w:eastAsia="da-DK"/>
        </w:rPr>
        <w:t xml:space="preserve">Preliminary assessment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132.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significantly increase the degree of vertical integration in the value chain of the Danish fertilizer business. Especially, the producer will be linked more closely to downstream operators than previously (since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withdrew from Denmark in 2001 and 2004 respectively, cf.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19).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133. Access to the distribution network is of great importance to all suppliers in the markets. Only very few plant growing farmers pick up fertilizers at shipside; instead they typically approach local retailers. Gaining access to retailers is therefore of paramount importance to fertilizer producers. This access is arranged through the wholesale segment, and this is why producers may gain significant advantages by being integrated with the wholesale segment. This was also recognized in 2002 when the DCA dealt with the feedstuff merger.</w:t>
      </w:r>
      <w:bookmarkStart w:id="69" w:name="_ftnref30"/>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"_ftn30"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[30]</w:t>
      </w:r>
      <w:r w:rsidRPr="00B102F4">
        <w:rPr>
          <w:rFonts w:ascii="Times New Roman" w:eastAsia="Times New Roman" w:hAnsi="Times New Roman" w:cs="Times New Roman"/>
          <w:sz w:val="24"/>
          <w:szCs w:val="24"/>
          <w:lang w:val="en" w:eastAsia="da-DK"/>
        </w:rPr>
        <w:fldChar w:fldCharType="end"/>
      </w:r>
      <w:bookmarkEnd w:id="69"/>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70" w:name="_Toc128203479"/>
      <w:bookmarkEnd w:id="70"/>
      <w:r w:rsidRPr="00B102F4">
        <w:rPr>
          <w:rFonts w:ascii="Times New Roman" w:eastAsia="Times New Roman" w:hAnsi="Times New Roman" w:cs="Times New Roman"/>
          <w:b/>
          <w:bCs/>
          <w:sz w:val="27"/>
          <w:szCs w:val="27"/>
          <w:lang w:val="en" w:eastAsia="da-DK"/>
        </w:rPr>
        <w:t>Dominance</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134. In 2002</w:t>
      </w:r>
      <w:proofErr w:type="gramStart"/>
      <w:r w:rsidRPr="00B102F4">
        <w:rPr>
          <w:rFonts w:ascii="Times New Roman" w:eastAsia="Times New Roman" w:hAnsi="Times New Roman" w:cs="Times New Roman"/>
          <w:sz w:val="24"/>
          <w:szCs w:val="24"/>
          <w:lang w:val="en" w:eastAsia="da-DK"/>
        </w:rPr>
        <w:t>,</w:t>
      </w:r>
      <w:bookmarkStart w:id="71" w:name="_ftnref31"/>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"_ftn31"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[31]</w:t>
      </w:r>
      <w:r w:rsidRPr="00B102F4">
        <w:rPr>
          <w:rFonts w:ascii="Times New Roman" w:eastAsia="Times New Roman" w:hAnsi="Times New Roman" w:cs="Times New Roman"/>
          <w:sz w:val="24"/>
          <w:szCs w:val="24"/>
          <w:lang w:val="en" w:eastAsia="da-DK"/>
        </w:rPr>
        <w:fldChar w:fldCharType="end"/>
      </w:r>
      <w:bookmarkEnd w:id="71"/>
      <w:r w:rsidRPr="00B102F4">
        <w:rPr>
          <w:rFonts w:ascii="Times New Roman" w:eastAsia="Times New Roman" w:hAnsi="Times New Roman" w:cs="Times New Roman"/>
          <w:sz w:val="24"/>
          <w:szCs w:val="24"/>
          <w:lang w:val="en" w:eastAsia="da-DK"/>
        </w:rPr>
        <w:t xml:space="preserve"> it was concluded that DLG had a dominant position in the commercial fertilizer market (at the time, no distinctions were made between production/wholesale/retail). Nevertheless, it was concluded that the merger did not restrict competition significantly, as the Danish fertilizer market was considered open, with no barriers to entry, free access to products, and no exclusive agreements between producers and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companies existed. The market structure has changed considerably since then, and the players in the market have become increasingly more vertically integrated. Today, following the establishment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55-60 % of the distribution channels will be controlled by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w:t>
      </w:r>
      <w:bookmarkStart w:id="72" w:name="_ftnref32"/>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"_ftn32"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[32]</w:t>
      </w:r>
      <w:r w:rsidRPr="00B102F4">
        <w:rPr>
          <w:rFonts w:ascii="Times New Roman" w:eastAsia="Times New Roman" w:hAnsi="Times New Roman" w:cs="Times New Roman"/>
          <w:sz w:val="24"/>
          <w:szCs w:val="24"/>
          <w:lang w:val="en" w:eastAsia="da-DK"/>
        </w:rPr>
        <w:fldChar w:fldCharType="end"/>
      </w:r>
      <w:bookmarkEnd w:id="72"/>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135. In the period from 2002 to 2005,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have been further strengthened. In 2002, DLG had a market share of 40-45 </w:t>
      </w:r>
      <w:proofErr w:type="gramStart"/>
      <w:r w:rsidRPr="00B102F4">
        <w:rPr>
          <w:rFonts w:ascii="Times New Roman" w:eastAsia="Times New Roman" w:hAnsi="Times New Roman" w:cs="Times New Roman"/>
          <w:sz w:val="24"/>
          <w:szCs w:val="24"/>
          <w:lang w:val="en" w:eastAsia="da-DK"/>
        </w:rPr>
        <w:t>%</w:t>
      </w:r>
      <w:bookmarkStart w:id="73" w:name="_ftnref33"/>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"_ftn33"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[33]</w:t>
      </w:r>
      <w:r w:rsidRPr="00B102F4">
        <w:rPr>
          <w:rFonts w:ascii="Times New Roman" w:eastAsia="Times New Roman" w:hAnsi="Times New Roman" w:cs="Times New Roman"/>
          <w:sz w:val="24"/>
          <w:szCs w:val="24"/>
          <w:lang w:val="en" w:eastAsia="da-DK"/>
        </w:rPr>
        <w:fldChar w:fldCharType="end"/>
      </w:r>
      <w:bookmarkEnd w:id="73"/>
      <w:r w:rsidRPr="00B102F4">
        <w:rPr>
          <w:rFonts w:ascii="Times New Roman" w:eastAsia="Times New Roman" w:hAnsi="Times New Roman" w:cs="Times New Roman"/>
          <w:sz w:val="24"/>
          <w:szCs w:val="24"/>
          <w:lang w:val="en" w:eastAsia="da-DK"/>
        </w:rPr>
        <w:t xml:space="preserve"> and today, before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their share is 40-50 %. In 2002, all wholesalers/retailers had easy access to fertilizers from </w:t>
      </w:r>
      <w:proofErr w:type="spellStart"/>
      <w:r w:rsidRPr="00B102F4">
        <w:rPr>
          <w:rFonts w:ascii="Times New Roman" w:eastAsia="Times New Roman" w:hAnsi="Times New Roman" w:cs="Times New Roman"/>
          <w:sz w:val="24"/>
          <w:szCs w:val="24"/>
          <w:lang w:val="en" w:eastAsia="da-DK"/>
        </w:rPr>
        <w:t>Kemira’s</w:t>
      </w:r>
      <w:proofErr w:type="spellEnd"/>
      <w:r w:rsidRPr="00B102F4">
        <w:rPr>
          <w:rFonts w:ascii="Times New Roman" w:eastAsia="Times New Roman" w:hAnsi="Times New Roman" w:cs="Times New Roman"/>
          <w:sz w:val="24"/>
          <w:szCs w:val="24"/>
          <w:lang w:val="en" w:eastAsia="da-DK"/>
        </w:rPr>
        <w:t xml:space="preserve"> plant in </w:t>
      </w:r>
      <w:proofErr w:type="spellStart"/>
      <w:r w:rsidRPr="00B102F4">
        <w:rPr>
          <w:rFonts w:ascii="Times New Roman" w:eastAsia="Times New Roman" w:hAnsi="Times New Roman" w:cs="Times New Roman"/>
          <w:sz w:val="24"/>
          <w:szCs w:val="24"/>
          <w:lang w:val="en" w:eastAsia="da-DK"/>
        </w:rPr>
        <w:t>Fredericia</w:t>
      </w:r>
      <w:proofErr w:type="spellEnd"/>
      <w:r w:rsidRPr="00B102F4">
        <w:rPr>
          <w:rFonts w:ascii="Times New Roman" w:eastAsia="Times New Roman" w:hAnsi="Times New Roman" w:cs="Times New Roman"/>
          <w:sz w:val="24"/>
          <w:szCs w:val="24"/>
          <w:lang w:val="en" w:eastAsia="da-DK"/>
        </w:rPr>
        <w:t xml:space="preserve">. This plant is now closed. In the future, the only competitor capable of exercising any real restraints on the parties will be the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/DLA Agro constellation; all other large players have become dependent on either of the two vertically integrated divisions/co-operations.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136. The pre-existing dominant position of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downstream in the value chain will be further strengthened as a result of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137.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in itself, with a market share of 55-60 %, hold a dominant position in the wholesale market.</w:t>
      </w:r>
      <w:bookmarkStart w:id="74" w:name="_ftnref34"/>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"_ftn34"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[34]</w:t>
      </w:r>
      <w:r w:rsidRPr="00B102F4">
        <w:rPr>
          <w:rFonts w:ascii="Times New Roman" w:eastAsia="Times New Roman" w:hAnsi="Times New Roman" w:cs="Times New Roman"/>
          <w:sz w:val="24"/>
          <w:szCs w:val="24"/>
          <w:lang w:val="en" w:eastAsia="da-DK"/>
        </w:rPr>
        <w:fldChar w:fldCharType="end"/>
      </w:r>
      <w:bookmarkEnd w:id="74"/>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138</w:t>
      </w:r>
      <w:proofErr w:type="gramStart"/>
      <w:r w:rsidRPr="00B102F4">
        <w:rPr>
          <w:rFonts w:ascii="Times New Roman" w:eastAsia="Times New Roman" w:hAnsi="Times New Roman" w:cs="Times New Roman"/>
          <w:sz w:val="24"/>
          <w:szCs w:val="24"/>
          <w:lang w:val="en" w:eastAsia="da-DK"/>
        </w:rPr>
        <w:t>.Yara</w:t>
      </w:r>
      <w:proofErr w:type="gramEnd"/>
      <w:r w:rsidRPr="00B102F4">
        <w:rPr>
          <w:rFonts w:ascii="Times New Roman" w:eastAsia="Times New Roman" w:hAnsi="Times New Roman" w:cs="Times New Roman"/>
          <w:sz w:val="24"/>
          <w:szCs w:val="24"/>
          <w:lang w:val="en" w:eastAsia="da-DK"/>
        </w:rPr>
        <w:t xml:space="preserve">, as such, does not possess a dominant position in the production market in the EEA. However, in Denmark, because of the integration of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into the value chain,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contributes to the strengthening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dominant position and a dominant position for the vertically integrated “</w:t>
      </w:r>
      <w:proofErr w:type="spellStart"/>
      <w:r w:rsidRPr="00B102F4">
        <w:rPr>
          <w:rFonts w:ascii="Times New Roman" w:eastAsia="Times New Roman" w:hAnsi="Times New Roman" w:cs="Times New Roman"/>
          <w:sz w:val="24"/>
          <w:szCs w:val="24"/>
          <w:lang w:val="en" w:eastAsia="da-DK"/>
        </w:rPr>
        <w:t>Yara-Ferti</w:t>
      </w:r>
      <w:proofErr w:type="spellEnd"/>
      <w:r w:rsidRPr="00B102F4">
        <w:rPr>
          <w:rFonts w:ascii="Times New Roman" w:eastAsia="Times New Roman" w:hAnsi="Times New Roman" w:cs="Times New Roman"/>
          <w:sz w:val="24"/>
          <w:szCs w:val="24"/>
          <w:lang w:val="en" w:eastAsia="da-DK"/>
        </w:rPr>
        <w:t xml:space="preserve"> Supply-DLG/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throughout the value chain.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75" w:name="_Toc128203480"/>
      <w:bookmarkEnd w:id="75"/>
      <w:r w:rsidRPr="00B102F4">
        <w:rPr>
          <w:rFonts w:ascii="Times New Roman" w:eastAsia="Times New Roman" w:hAnsi="Times New Roman" w:cs="Times New Roman"/>
          <w:b/>
          <w:bCs/>
          <w:sz w:val="36"/>
          <w:szCs w:val="36"/>
          <w:lang w:val="en" w:eastAsia="da-DK"/>
        </w:rPr>
        <w:t>Concerns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139. The DCA has identified several competition concerns arising from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140. </w:t>
      </w:r>
      <w:r w:rsidRPr="00B102F4">
        <w:rPr>
          <w:rFonts w:ascii="Times New Roman" w:eastAsia="Times New Roman" w:hAnsi="Times New Roman" w:cs="Times New Roman"/>
          <w:b/>
          <w:bCs/>
          <w:sz w:val="24"/>
          <w:szCs w:val="24"/>
          <w:lang w:val="en" w:eastAsia="da-DK"/>
        </w:rPr>
        <w:t>Access</w:t>
      </w:r>
      <w:r w:rsidRPr="00B102F4">
        <w:rPr>
          <w:rFonts w:ascii="Times New Roman" w:eastAsia="Times New Roman" w:hAnsi="Times New Roman" w:cs="Times New Roman"/>
          <w:sz w:val="24"/>
          <w:szCs w:val="24"/>
          <w:lang w:val="en" w:eastAsia="da-DK"/>
        </w:rPr>
        <w:t xml:space="preserve"> for competing fertilizer producers/traders to the distribution network is becoming increasingly difficult, as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control 55-60 % of this network. The restricted access is supported by the </w:t>
      </w:r>
      <w:r w:rsidRPr="00B102F4">
        <w:rPr>
          <w:rFonts w:ascii="Times New Roman" w:eastAsia="Times New Roman" w:hAnsi="Times New Roman" w:cs="Times New Roman"/>
          <w:b/>
          <w:bCs/>
          <w:sz w:val="24"/>
          <w:szCs w:val="24"/>
          <w:lang w:val="en" w:eastAsia="da-DK"/>
        </w:rPr>
        <w:t>exclusivity</w:t>
      </w:r>
      <w:r w:rsidRPr="00B102F4">
        <w:rPr>
          <w:rFonts w:ascii="Times New Roman" w:eastAsia="Times New Roman" w:hAnsi="Times New Roman" w:cs="Times New Roman"/>
          <w:sz w:val="24"/>
          <w:szCs w:val="24"/>
          <w:lang w:val="en" w:eastAsia="da-DK"/>
        </w:rPr>
        <w:t xml:space="preserve"> agreed between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(input foreclosure</w:t>
      </w:r>
      <w:bookmarkStart w:id="76" w:name="_ftnref35"/>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"_ftn35"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[35]</w:t>
      </w:r>
      <w:r w:rsidRPr="00B102F4">
        <w:rPr>
          <w:rFonts w:ascii="Times New Roman" w:eastAsia="Times New Roman" w:hAnsi="Times New Roman" w:cs="Times New Roman"/>
          <w:sz w:val="24"/>
          <w:szCs w:val="24"/>
          <w:lang w:val="en" w:eastAsia="da-DK"/>
        </w:rPr>
        <w:fldChar w:fldCharType="end"/>
      </w:r>
      <w:bookmarkEnd w:id="76"/>
      <w:r w:rsidRPr="00B102F4">
        <w:rPr>
          <w:rFonts w:ascii="Times New Roman" w:eastAsia="Times New Roman" w:hAnsi="Times New Roman" w:cs="Times New Roman"/>
          <w:sz w:val="24"/>
          <w:szCs w:val="24"/>
          <w:lang w:val="en" w:eastAsia="da-DK"/>
        </w:rPr>
        <w:t xml:space="preserve">) and the obligation undertaken by both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to source </w:t>
      </w:r>
      <w:r w:rsidRPr="00B102F4">
        <w:rPr>
          <w:rFonts w:ascii="Times New Roman" w:eastAsia="Times New Roman" w:hAnsi="Times New Roman" w:cs="Times New Roman"/>
          <w:b/>
          <w:bCs/>
          <w:sz w:val="24"/>
          <w:szCs w:val="24"/>
          <w:lang w:val="en" w:eastAsia="da-DK"/>
        </w:rPr>
        <w:t>exclusively</w:t>
      </w:r>
      <w:r w:rsidRPr="00B102F4">
        <w:rPr>
          <w:rFonts w:ascii="Times New Roman" w:eastAsia="Times New Roman" w:hAnsi="Times New Roman" w:cs="Times New Roman"/>
          <w:sz w:val="24"/>
          <w:szCs w:val="24"/>
          <w:lang w:val="en" w:eastAsia="da-DK"/>
        </w:rPr>
        <w:t xml:space="preserve"> from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the first 3 years (customer foreclosure</w:t>
      </w:r>
      <w:bookmarkStart w:id="77" w:name="_ftnref36"/>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"_ftn36"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[36]</w:t>
      </w:r>
      <w:r w:rsidRPr="00B102F4">
        <w:rPr>
          <w:rFonts w:ascii="Times New Roman" w:eastAsia="Times New Roman" w:hAnsi="Times New Roman" w:cs="Times New Roman"/>
          <w:sz w:val="24"/>
          <w:szCs w:val="24"/>
          <w:lang w:val="en" w:eastAsia="da-DK"/>
        </w:rPr>
        <w:fldChar w:fldCharType="end"/>
      </w:r>
      <w:bookmarkEnd w:id="77"/>
      <w:r w:rsidRPr="00B102F4">
        <w:rPr>
          <w:rFonts w:ascii="Times New Roman" w:eastAsia="Times New Roman" w:hAnsi="Times New Roman" w:cs="Times New Roman"/>
          <w:sz w:val="24"/>
          <w:szCs w:val="24"/>
          <w:lang w:val="en" w:eastAsia="da-DK"/>
        </w:rPr>
        <w:t xml:space="preserve">). This will diminish the competitive pressure from alternative suppliers, once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created. Through the exclusivities agreed upon,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as well as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stand to benefit from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dominant position in the wholesale market.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141. Because both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source from the same channel, there is a significant risk that they will be able to tacitly </w:t>
      </w:r>
      <w:r w:rsidRPr="00B102F4">
        <w:rPr>
          <w:rFonts w:ascii="Times New Roman" w:eastAsia="Times New Roman" w:hAnsi="Times New Roman" w:cs="Times New Roman"/>
          <w:b/>
          <w:bCs/>
          <w:sz w:val="24"/>
          <w:szCs w:val="24"/>
          <w:lang w:val="en" w:eastAsia="da-DK"/>
        </w:rPr>
        <w:t xml:space="preserve">coordinate </w:t>
      </w:r>
      <w:proofErr w:type="gramStart"/>
      <w:r w:rsidRPr="00B102F4">
        <w:rPr>
          <w:rFonts w:ascii="Times New Roman" w:eastAsia="Times New Roman" w:hAnsi="Times New Roman" w:cs="Times New Roman"/>
          <w:b/>
          <w:bCs/>
          <w:sz w:val="24"/>
          <w:szCs w:val="24"/>
          <w:lang w:val="en" w:eastAsia="da-DK"/>
        </w:rPr>
        <w:t>prices</w:t>
      </w:r>
      <w:bookmarkStart w:id="78" w:name="_ftnref37"/>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"_ftn37"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[37]</w:t>
      </w:r>
      <w:r w:rsidRPr="00B102F4">
        <w:rPr>
          <w:rFonts w:ascii="Times New Roman" w:eastAsia="Times New Roman" w:hAnsi="Times New Roman" w:cs="Times New Roman"/>
          <w:sz w:val="24"/>
          <w:szCs w:val="24"/>
          <w:lang w:val="en" w:eastAsia="da-DK"/>
        </w:rPr>
        <w:fldChar w:fldCharType="end"/>
      </w:r>
      <w:bookmarkEnd w:id="78"/>
      <w:r w:rsidRPr="00B102F4">
        <w:rPr>
          <w:rFonts w:ascii="Times New Roman" w:eastAsia="Times New Roman" w:hAnsi="Times New Roman" w:cs="Times New Roman"/>
          <w:sz w:val="24"/>
          <w:szCs w:val="24"/>
          <w:lang w:val="en" w:eastAsia="da-DK"/>
        </w:rPr>
        <w:t xml:space="preserve"> downstream to the detriment of end-users. More than [X] % of the retail price already consists of the purchase price from the supplier. This risk is increased due to the fact that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for 3 years may not source from other channels but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which in this way saturates 55-60 % of the market. The price from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to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is no market price but fixed according to agreement between the parties (further elaborated below), and this makes it even more difficult to make an assessment of the trade-off between efficiencies and risks implied by the creation of the joint venture, and especially by the </w:t>
      </w:r>
      <w:r w:rsidRPr="00B102F4">
        <w:rPr>
          <w:rFonts w:ascii="Times New Roman" w:eastAsia="Times New Roman" w:hAnsi="Times New Roman" w:cs="Times New Roman"/>
          <w:sz w:val="24"/>
          <w:szCs w:val="24"/>
          <w:lang w:val="en" w:eastAsia="da-DK"/>
        </w:rPr>
        <w:lastRenderedPageBreak/>
        <w:t>incorporated exclusivities.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already source from the same channel via the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cooperation, which means that the risk of tacit collusion has existed for a longer period. However, the risk is now increased by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participation in the joint venture and by the parallel establishment of the DLA/</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cooperation. As these two producers become so closely linked to the Danish distribution network, the strength of existing barriers to entry will be significantly increased.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142. Retailers, who are not participating in either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or DLA Agro, will at the same time meet (new) difficulties in their sourcing; without sufficient scale and infrastructure they will not be able to bypass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secure for themselves competitive prices/rebates from international fertilizer producers. And if/when purchasing from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they may even have to pay overcharges. Such (smaller) companies do not pose a competitive threat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DLG or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instead, they risk being pushed out of the market.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143. The identified concerns will be dealt with in more details below.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79" w:name="_Toc128203481"/>
      <w:bookmarkEnd w:id="79"/>
      <w:r w:rsidRPr="00B102F4">
        <w:rPr>
          <w:rFonts w:ascii="Times New Roman" w:eastAsia="Times New Roman" w:hAnsi="Times New Roman" w:cs="Times New Roman"/>
          <w:b/>
          <w:bCs/>
          <w:sz w:val="27"/>
          <w:szCs w:val="27"/>
          <w:lang w:val="en" w:eastAsia="da-DK"/>
        </w:rPr>
        <w:t>Access to the Danish market</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144. Gaining access to Danish </w:t>
      </w:r>
      <w:proofErr w:type="spellStart"/>
      <w:r w:rsidRPr="00B102F4">
        <w:rPr>
          <w:rFonts w:ascii="Times New Roman" w:eastAsia="Times New Roman" w:hAnsi="Times New Roman" w:cs="Times New Roman"/>
          <w:sz w:val="24"/>
          <w:szCs w:val="24"/>
          <w:lang w:val="en" w:eastAsia="da-DK"/>
        </w:rPr>
        <w:t>harbours</w:t>
      </w:r>
      <w:proofErr w:type="spellEnd"/>
      <w:r w:rsidRPr="00B102F4">
        <w:rPr>
          <w:rFonts w:ascii="Times New Roman" w:eastAsia="Times New Roman" w:hAnsi="Times New Roman" w:cs="Times New Roman"/>
          <w:sz w:val="24"/>
          <w:szCs w:val="24"/>
          <w:lang w:val="en" w:eastAsia="da-DK"/>
        </w:rPr>
        <w:t xml:space="preserve"> is in itself unproblematic, as the ships used for transporting fertilizers are most often relatively small and therefore capable of calling at most Danish </w:t>
      </w:r>
      <w:proofErr w:type="spellStart"/>
      <w:r w:rsidRPr="00B102F4">
        <w:rPr>
          <w:rFonts w:ascii="Times New Roman" w:eastAsia="Times New Roman" w:hAnsi="Times New Roman" w:cs="Times New Roman"/>
          <w:sz w:val="24"/>
          <w:szCs w:val="24"/>
          <w:lang w:val="en" w:eastAsia="da-DK"/>
        </w:rPr>
        <w:t>harbours</w:t>
      </w:r>
      <w:proofErr w:type="spellEnd"/>
      <w:r w:rsidRPr="00B102F4">
        <w:rPr>
          <w:rFonts w:ascii="Times New Roman" w:eastAsia="Times New Roman" w:hAnsi="Times New Roman" w:cs="Times New Roman"/>
          <w:sz w:val="24"/>
          <w:szCs w:val="24"/>
          <w:lang w:val="en" w:eastAsia="da-DK"/>
        </w:rPr>
        <w:t xml:space="preserve">. However, in Denmark, the only way fertilizers flow from producers to end-users is through the already established distribution network, consisting of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companies’ storage facilities etc. Accordingly, in order to reach local retailers, producers need access to the logistic services of wholesalers. These services include unloading at shipside, bagging fertilizers and transporting them to the appropriate terminal or storage facilities.</w:t>
      </w:r>
      <w:bookmarkStart w:id="80" w:name="_ftnref38"/>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"_ftn38"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[38]</w:t>
      </w:r>
      <w:r w:rsidRPr="00B102F4">
        <w:rPr>
          <w:rFonts w:ascii="Times New Roman" w:eastAsia="Times New Roman" w:hAnsi="Times New Roman" w:cs="Times New Roman"/>
          <w:sz w:val="24"/>
          <w:szCs w:val="24"/>
          <w:lang w:val="en" w:eastAsia="da-DK"/>
        </w:rPr>
        <w:fldChar w:fldCharType="end"/>
      </w:r>
      <w:bookmarkEnd w:id="80"/>
      <w:r w:rsidRPr="00B102F4">
        <w:rPr>
          <w:rFonts w:ascii="Times New Roman" w:eastAsia="Times New Roman" w:hAnsi="Times New Roman" w:cs="Times New Roman"/>
          <w:sz w:val="24"/>
          <w:szCs w:val="24"/>
          <w:lang w:val="en" w:eastAsia="da-DK"/>
        </w:rPr>
        <w:t xml:space="preserve"> Thus, access to the relevant fertilizer products upstream, and access to the distribution network downstream, is of vital importance to producers, wholesalers and retailers. This is also the rationale behind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i.e. creating optimized access for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downstream and supply security for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upstream, thereby presumably creating synergies at all levels.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significantly change trade patterns in the Danish fertilizer business.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145. The production market and the wholesale market are closely linked, and with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it will be even more so. The parties have activities on both levels, and concerns arise, as considerable parts of the logistic services, and thereby access to the retail segment, are shielded.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be able to control 55-60 % of both the distribution network at wholesale level and of the retail segment. Correspondingly, DLA Agro will control access to 1/3 of the market. The remaining 5-15 % of the market will be divided between </w:t>
      </w:r>
      <w:proofErr w:type="spellStart"/>
      <w:r w:rsidRPr="00B102F4">
        <w:rPr>
          <w:rFonts w:ascii="Times New Roman" w:eastAsia="Times New Roman" w:hAnsi="Times New Roman" w:cs="Times New Roman"/>
          <w:sz w:val="24"/>
          <w:szCs w:val="24"/>
          <w:lang w:val="en" w:eastAsia="da-DK"/>
        </w:rPr>
        <w:t>Aarhusegnens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Andel</w:t>
      </w:r>
      <w:proofErr w:type="spellEnd"/>
      <w:r w:rsidRPr="00B102F4">
        <w:rPr>
          <w:rFonts w:ascii="Times New Roman" w:eastAsia="Times New Roman" w:hAnsi="Times New Roman" w:cs="Times New Roman"/>
          <w:sz w:val="24"/>
          <w:szCs w:val="24"/>
          <w:lang w:val="en" w:eastAsia="da-DK"/>
        </w:rPr>
        <w:t xml:space="preserve"> and a large number of small companies – which may hitherto have purchased from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or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directly.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146. Overall, the structural changes occurring from the increased vertical integration of the Danish fertilizer market means that 85-95 % of the market is controlled by two “gatekeepers”. Bypassing these gatekeepers will require that competing producers or purchasers set up their own infrastructures (unloading, storage, transportation facilities etc.), and such infrastructures require, according to the DCA’s market investigation, a certain scale and scope (approximately a minimum of 100,000 tons and 20-40 products in the portfolio) and underlying logistics. </w:t>
      </w:r>
    </w:p>
    <w:p w:rsidR="00B102F4" w:rsidRPr="00B102F4" w:rsidRDefault="00B102F4" w:rsidP="00B102F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B102F4">
        <w:rPr>
          <w:rFonts w:ascii="Times New Roman" w:eastAsia="Times New Roman" w:hAnsi="Times New Roman" w:cs="Times New Roman"/>
          <w:b/>
          <w:bCs/>
          <w:sz w:val="24"/>
          <w:szCs w:val="24"/>
          <w:lang w:val="en" w:eastAsia="da-DK"/>
        </w:rPr>
        <w:t>Period with exclusivities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 xml:space="preserve">147. For the first 3 years after the establishment of the joint venture,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has the sole and exclusive right to purchase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to supply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Thereby, this part of the retail segment is effectively shielded from other producers. As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obliged to buy minimum [X] of the total purchase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at least [X] – and probably more – will in this way be reserved for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exclusively. Furthermore, the procedures agreed upon concerning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purchases give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 good opportunity to estimate expected sales through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plan possible additional sales on this background. The shielding of the market is further substantiated by the DLA Agro-</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cooperation, as this, according to the knowledge of the DCA, involves exclusivity in the retail segment, too.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148. Farmers’ purchases are not tied, but in the past they have bought very limited amounts bypassing the retail segment, even though the possibility thereof has improved after the introduction of big-bags to the market. Big-bags are sold via the traditional distribution channels, where fertilizers are bagged at wholesalers’ premises and transported to retailers’ and sometimes directly to farmers. The use of big-bags facilitates distribution and optimizes storage possibilities – but it does not seem to have had a significant impact on farmers’ purchase patterns, i.e. when it comes to choice of supplier. The possibilities for a supplier to bypass the existing retail segment and supply farmers directly must, therefore, be regarded as poor and they represent no realistic threat.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149. Corresponding to suppliers’ problems regarding access to the Danish market, it may become increasingly difficult for retailers to compete if they are not part of the established networks. Full shiploads must be purchased, and as each ship typically carries only one type of fertilizers, a retailer will need to purchase at least 3-5,000 tons of each type of fertilizer.</w:t>
      </w:r>
      <w:bookmarkStart w:id="81" w:name="_ftnref39"/>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"_ftn39"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[39]</w:t>
      </w:r>
      <w:r w:rsidRPr="00B102F4">
        <w:rPr>
          <w:rFonts w:ascii="Times New Roman" w:eastAsia="Times New Roman" w:hAnsi="Times New Roman" w:cs="Times New Roman"/>
          <w:sz w:val="24"/>
          <w:szCs w:val="24"/>
          <w:lang w:val="en" w:eastAsia="da-DK"/>
        </w:rPr>
        <w:fldChar w:fldCharType="end"/>
      </w:r>
      <w:bookmarkEnd w:id="81"/>
      <w:r w:rsidRPr="00B102F4">
        <w:rPr>
          <w:rFonts w:ascii="Times New Roman" w:eastAsia="Times New Roman" w:hAnsi="Times New Roman" w:cs="Times New Roman"/>
          <w:sz w:val="24"/>
          <w:szCs w:val="24"/>
          <w:lang w:val="en" w:eastAsia="da-DK"/>
        </w:rPr>
        <w:t xml:space="preserve"> In order to carry a full assortment, 20-40 products are required, meaning that an independent importer will need to purchase 100,000 tons of fertilizers. Furthermore, the retailer must be able to sell these products within a distance of less than 100 km from his premises, in order for transportation costs to be </w:t>
      </w:r>
      <w:proofErr w:type="gramStart"/>
      <w:r w:rsidRPr="00B102F4">
        <w:rPr>
          <w:rFonts w:ascii="Times New Roman" w:eastAsia="Times New Roman" w:hAnsi="Times New Roman" w:cs="Times New Roman"/>
          <w:sz w:val="24"/>
          <w:szCs w:val="24"/>
          <w:lang w:val="en" w:eastAsia="da-DK"/>
        </w:rPr>
        <w:t>reasonable</w:t>
      </w:r>
      <w:proofErr w:type="gramEnd"/>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150. Also, besides the physical distribution, problems may arise for independent retailers as purchasing at </w:t>
      </w:r>
      <w:proofErr w:type="spellStart"/>
      <w:r w:rsidRPr="00B102F4">
        <w:rPr>
          <w:rFonts w:ascii="Times New Roman" w:eastAsia="Times New Roman" w:hAnsi="Times New Roman" w:cs="Times New Roman"/>
          <w:sz w:val="24"/>
          <w:szCs w:val="24"/>
          <w:lang w:val="en" w:eastAsia="da-DK"/>
        </w:rPr>
        <w:t>favourable</w:t>
      </w:r>
      <w:proofErr w:type="spellEnd"/>
      <w:r w:rsidRPr="00B102F4">
        <w:rPr>
          <w:rFonts w:ascii="Times New Roman" w:eastAsia="Times New Roman" w:hAnsi="Times New Roman" w:cs="Times New Roman"/>
          <w:sz w:val="24"/>
          <w:szCs w:val="24"/>
          <w:lang w:val="en" w:eastAsia="da-DK"/>
        </w:rPr>
        <w:t xml:space="preserve"> prices traditionally have required planning and ordering in advance. For instance, the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cooperation has yearly budgets and ordering in advance as a precondition.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151. The exclusivity between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will limit the competitive pressure on the Danish market. Hitherto,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has supplied the Danish market with a large and wide assortment of quality products. For the initial 3 years, the exclusivity means that there will be one less producer to compete on the remaining part of the Danish market.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is allowed to make passive sales to the Danish market, but this is unlikely to compensate. It is forbidden for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to look up customers actively, and attractive offers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will not automatically reach the Danish market without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as the intermediary. Also, the division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profits will make it most likely for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to benefit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first in the case of attractive offers, as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will be reimbursed [a part] of the “rebate” given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is under no obligation to supply other Danish customers, and it seems to be a natural assumption that the inclination to supply others will be limited as far as the sales/profits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can be adversely affected. The competitive pressure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will therefore most likely be manifested through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alone for the first 3 years.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152. For the reasons listed above, the market will be effectively shielded. This is especially the case during the first 3 years, where the exclusivity agreements are in place and where there may be </w:t>
      </w:r>
      <w:r w:rsidRPr="00B102F4">
        <w:rPr>
          <w:rFonts w:ascii="Times New Roman" w:eastAsia="Times New Roman" w:hAnsi="Times New Roman" w:cs="Times New Roman"/>
          <w:sz w:val="24"/>
          <w:szCs w:val="24"/>
          <w:lang w:val="en" w:eastAsia="da-DK"/>
        </w:rPr>
        <w:lastRenderedPageBreak/>
        <w:t xml:space="preserve">insufficient “free” volumes/customers on the Danish market for other producers to enter the market effectively. Retailers will meet difficulties in obtaining a full assortment when other producers face difficulties with trying to enter the market because of insufficient scale and scope. Inter-brand competition will be restricted as a result of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limited access to other Danish players leading to a risk of higher prices. </w:t>
      </w:r>
    </w:p>
    <w:p w:rsidR="00B102F4" w:rsidRPr="00B102F4" w:rsidRDefault="00B102F4" w:rsidP="00B102F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B102F4">
        <w:rPr>
          <w:rFonts w:ascii="Times New Roman" w:eastAsia="Times New Roman" w:hAnsi="Times New Roman" w:cs="Times New Roman"/>
          <w:b/>
          <w:bCs/>
          <w:sz w:val="24"/>
          <w:szCs w:val="24"/>
          <w:lang w:val="en" w:eastAsia="da-DK"/>
        </w:rPr>
        <w:t>After the period with exclusivities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153. After 3 years,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shielding of the market covers [X] which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can purchase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at a </w:t>
      </w:r>
      <w:proofErr w:type="spellStart"/>
      <w:r w:rsidRPr="00B102F4">
        <w:rPr>
          <w:rFonts w:ascii="Times New Roman" w:eastAsia="Times New Roman" w:hAnsi="Times New Roman" w:cs="Times New Roman"/>
          <w:sz w:val="24"/>
          <w:szCs w:val="24"/>
          <w:lang w:val="en" w:eastAsia="da-DK"/>
        </w:rPr>
        <w:t>favourable</w:t>
      </w:r>
      <w:proofErr w:type="spellEnd"/>
      <w:r w:rsidRPr="00B102F4">
        <w:rPr>
          <w:rFonts w:ascii="Times New Roman" w:eastAsia="Times New Roman" w:hAnsi="Times New Roman" w:cs="Times New Roman"/>
          <w:sz w:val="24"/>
          <w:szCs w:val="24"/>
          <w:lang w:val="en" w:eastAsia="da-DK"/>
        </w:rPr>
        <w:t xml:space="preserve"> price.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is no longer precluded from selling to others than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It can thus be an advantage for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if they can obtain a good offer directly from producers without purchasing through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as they will avoid sharing [] a potential profit with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This requires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to have the necessary capacity and infrastructure at their disposal (which seems likely as they already have access to a fine-meshed retail network).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154. After the initial 3 years, it will still be advantageous for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to sell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in excess of the sales at ARA cost price, as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receives [X] of the profit from the joint venture in addition to the sales price. As to other customers in Denmark,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will have the same inclination to sell to these as to any other customers on the world market – as long as it is not in conflict with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interests in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Sales to other customers than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can lead to a pressure on the market shares and prices of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which may affect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negatively in two ways. Firstly,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will lose possible sales through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Secondly, a decline in DLG/</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sales may lead to a decrease in their purchases from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which leaves a smaller profit for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These circumstances may make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cautious of selling to others than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unless the profit from this is higher. The net effect of this is uncertain. The last possibility is, however, not to be ignored, cf. the following description of the price mechanisms.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155. Few retailers have traded with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since KFK was bought out in 2002. Even though some retailers, for instance DLA members, may have a preference for trading with another producer than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who is allied with their largest competitor, and even though they themselves have an alliance with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it is not likely that they will reject a good offer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B102F4">
        <w:rPr>
          <w:rFonts w:ascii="Times New Roman" w:eastAsia="Times New Roman" w:hAnsi="Times New Roman" w:cs="Times New Roman"/>
          <w:b/>
          <w:bCs/>
          <w:sz w:val="24"/>
          <w:szCs w:val="24"/>
          <w:lang w:val="en" w:eastAsia="da-DK"/>
        </w:rPr>
        <w:t>Market investigation</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156. The market investigation has revealed different concerns from the parties’ competitors. Their concerns primarily focus on access to the Danish distribution network and security of supply, respectively.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157. From the market investigation it can be seen that other producers used to sell fertilizers to both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In the future, they will only have the opportunity to sell (a lesser amount of) their fertilizer products to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via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or directly to farmers. The latter rarely occurs in actual practice, and only very large farmers are capable of purchasing directly from producers. The co-operative structure of Danish agriculture contributes to this. Most farmers will be inclined to purchase from their local retailer/</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company.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158. The market investigation has also revealed that sales via traders do not account for a very large share of overall purchases and that spot sales are rare, too. When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is cut off as an active player </w:t>
      </w:r>
      <w:r w:rsidRPr="00B102F4">
        <w:rPr>
          <w:rFonts w:ascii="Times New Roman" w:eastAsia="Times New Roman" w:hAnsi="Times New Roman" w:cs="Times New Roman"/>
          <w:sz w:val="24"/>
          <w:szCs w:val="24"/>
          <w:lang w:val="en" w:eastAsia="da-DK"/>
        </w:rPr>
        <w:lastRenderedPageBreak/>
        <w:t xml:space="preserve">in the market, the competitive pressure on the Danish market is lessened, as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has, until now, been one of the largest suppliers.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159. Doubts have also been raised as to whether establishing own, parallel distribution channels would be economically viable for new entrants. This has widely been rejected by the producers asked due to the significant costs involved with this, which would not be easily recouped.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160. For other producers, access to the market requires a certain volume. Ship-loads are typically 3-5,000 tons. Compared with the consumption of an average end-user of [X] tons, this requires that producers have access to [X] end-users, provided that these will take their entire requirement from this one producer. This is, however, highly unlikely, first of all because the said producer is only supplying one product per ship and the retailer (and end-user) will need more, different fertilizer products (NPK, PK, NS etc.). Secondly, this scenario also shows that a producer needs to either establish a separate and wide distribution net-work, if he cannot make use of the net-work already in place, or he needs to sell the whole ship-load to one retailer having the appropriate customer-base.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82" w:name="_Toc128203482"/>
      <w:bookmarkEnd w:id="82"/>
      <w:r w:rsidRPr="00B102F4">
        <w:rPr>
          <w:rFonts w:ascii="Times New Roman" w:eastAsia="Times New Roman" w:hAnsi="Times New Roman" w:cs="Times New Roman"/>
          <w:b/>
          <w:bCs/>
          <w:sz w:val="27"/>
          <w:szCs w:val="27"/>
          <w:lang w:val="en" w:eastAsia="da-DK"/>
        </w:rPr>
        <w:t xml:space="preserve">Price mechanisms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161. Demand for fertilizers is inelastic, and it is not likely that demand will increase even if significant price reductions take </w:t>
      </w:r>
      <w:proofErr w:type="gramStart"/>
      <w:r w:rsidRPr="00B102F4">
        <w:rPr>
          <w:rFonts w:ascii="Times New Roman" w:eastAsia="Times New Roman" w:hAnsi="Times New Roman" w:cs="Times New Roman"/>
          <w:sz w:val="24"/>
          <w:szCs w:val="24"/>
          <w:lang w:val="en" w:eastAsia="da-DK"/>
        </w:rPr>
        <w:t>place</w:t>
      </w:r>
      <w:bookmarkStart w:id="83" w:name="_ftnref40"/>
      <w:proofErr w:type="gramEnd"/>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"_ftn40"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[40]</w:t>
      </w:r>
      <w:r w:rsidRPr="00B102F4">
        <w:rPr>
          <w:rFonts w:ascii="Times New Roman" w:eastAsia="Times New Roman" w:hAnsi="Times New Roman" w:cs="Times New Roman"/>
          <w:sz w:val="24"/>
          <w:szCs w:val="24"/>
          <w:lang w:val="en" w:eastAsia="da-DK"/>
        </w:rPr>
        <w:fldChar w:fldCharType="end"/>
      </w:r>
      <w:bookmarkEnd w:id="83"/>
      <w:r w:rsidRPr="00B102F4">
        <w:rPr>
          <w:rFonts w:ascii="Times New Roman" w:eastAsia="Times New Roman" w:hAnsi="Times New Roman" w:cs="Times New Roman"/>
          <w:sz w:val="24"/>
          <w:szCs w:val="24"/>
          <w:lang w:val="en" w:eastAsia="da-DK"/>
        </w:rPr>
        <w:t xml:space="preserve">. Demand is not likely to decrease significantly either, even in the case of increased prices, as plants will still need the same amount of nutrients. This emphasizes the necessity of correct pricing in the fertilizer market.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162.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especially during the first 3 years, be able to influence prices and competition in the Danish market. A reduced competitive pressure, caused by the shielding of the Danish market, may lead to increased prices to farmers. This effect is further strengthened by the parallel vertical integration with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GrowHow</w:t>
      </w:r>
      <w:proofErr w:type="spellEnd"/>
      <w:r w:rsidRPr="00B102F4">
        <w:rPr>
          <w:rFonts w:ascii="Times New Roman" w:eastAsia="Times New Roman" w:hAnsi="Times New Roman" w:cs="Times New Roman"/>
          <w:sz w:val="24"/>
          <w:szCs w:val="24"/>
          <w:lang w:val="en" w:eastAsia="da-DK"/>
        </w:rPr>
        <w:t xml:space="preserve"> in the DLA Agro group. </w:t>
      </w:r>
    </w:p>
    <w:p w:rsidR="00B102F4" w:rsidRPr="00B102F4" w:rsidRDefault="00B102F4" w:rsidP="00B102F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proofErr w:type="spellStart"/>
      <w:r w:rsidRPr="00B102F4">
        <w:rPr>
          <w:rFonts w:ascii="Times New Roman" w:eastAsia="Times New Roman" w:hAnsi="Times New Roman" w:cs="Times New Roman"/>
          <w:b/>
          <w:bCs/>
          <w:sz w:val="24"/>
          <w:szCs w:val="24"/>
          <w:lang w:val="en" w:eastAsia="da-DK"/>
        </w:rPr>
        <w:t>Ferti</w:t>
      </w:r>
      <w:proofErr w:type="spellEnd"/>
      <w:r w:rsidRPr="00B102F4">
        <w:rPr>
          <w:rFonts w:ascii="Times New Roman" w:eastAsia="Times New Roman" w:hAnsi="Times New Roman" w:cs="Times New Roman"/>
          <w:b/>
          <w:bCs/>
          <w:sz w:val="24"/>
          <w:szCs w:val="24"/>
          <w:lang w:val="en" w:eastAsia="da-DK"/>
        </w:rPr>
        <w:t xml:space="preserve"> Supply’s purchase prices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163.Ferti Supply’s purchase price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is identical to the market price; however,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has the right to purchase [X] at ARA cost price, which is a cost price based on the market quotation for natural gas with the addition of an amount covering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production costs. This price must be presumed to give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 clear advantage. Overall, the price gap is negative, i.e. the ARA cost price is typically lower than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market price. []. It is </w:t>
      </w:r>
      <w:proofErr w:type="gramStart"/>
      <w:r w:rsidRPr="00B102F4">
        <w:rPr>
          <w:rFonts w:ascii="Times New Roman" w:eastAsia="Times New Roman" w:hAnsi="Times New Roman" w:cs="Times New Roman"/>
          <w:sz w:val="24"/>
          <w:szCs w:val="24"/>
          <w:lang w:val="en" w:eastAsia="da-DK"/>
        </w:rPr>
        <w:t>not,</w:t>
      </w:r>
      <w:proofErr w:type="gramEnd"/>
      <w:r w:rsidRPr="00B102F4">
        <w:rPr>
          <w:rFonts w:ascii="Times New Roman" w:eastAsia="Times New Roman" w:hAnsi="Times New Roman" w:cs="Times New Roman"/>
          <w:sz w:val="24"/>
          <w:szCs w:val="24"/>
          <w:lang w:val="en" w:eastAsia="da-DK"/>
        </w:rPr>
        <w:t xml:space="preserve"> however, guaranteed that the ARA cost price is always advantageous, cf. that [X] are above the market price. [...].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must be presumed to be capable of taking advantage of the </w:t>
      </w:r>
      <w:proofErr w:type="spellStart"/>
      <w:r w:rsidRPr="00B102F4">
        <w:rPr>
          <w:rFonts w:ascii="Times New Roman" w:eastAsia="Times New Roman" w:hAnsi="Times New Roman" w:cs="Times New Roman"/>
          <w:sz w:val="24"/>
          <w:szCs w:val="24"/>
          <w:lang w:val="en" w:eastAsia="da-DK"/>
        </w:rPr>
        <w:t>favourable</w:t>
      </w:r>
      <w:proofErr w:type="spellEnd"/>
      <w:r w:rsidRPr="00B102F4">
        <w:rPr>
          <w:rFonts w:ascii="Times New Roman" w:eastAsia="Times New Roman" w:hAnsi="Times New Roman" w:cs="Times New Roman"/>
          <w:sz w:val="24"/>
          <w:szCs w:val="24"/>
          <w:lang w:val="en" w:eastAsia="da-DK"/>
        </w:rPr>
        <w:t xml:space="preserve"> prices, such that its demand is placed in these periods, especially as most purchases are planned in advance.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164. The </w:t>
      </w:r>
      <w:proofErr w:type="spellStart"/>
      <w:r w:rsidRPr="00B102F4">
        <w:rPr>
          <w:rFonts w:ascii="Times New Roman" w:eastAsia="Times New Roman" w:hAnsi="Times New Roman" w:cs="Times New Roman"/>
          <w:sz w:val="24"/>
          <w:szCs w:val="24"/>
          <w:lang w:val="en" w:eastAsia="da-DK"/>
        </w:rPr>
        <w:t>favourable</w:t>
      </w:r>
      <w:proofErr w:type="spellEnd"/>
      <w:r w:rsidRPr="00B102F4">
        <w:rPr>
          <w:rFonts w:ascii="Times New Roman" w:eastAsia="Times New Roman" w:hAnsi="Times New Roman" w:cs="Times New Roman"/>
          <w:sz w:val="24"/>
          <w:szCs w:val="24"/>
          <w:lang w:val="en" w:eastAsia="da-DK"/>
        </w:rPr>
        <w:t xml:space="preserve"> prices apply to up to [X]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total demand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as the ARA price can be extended to cover [X]. These conditions remain in force after the expiry of the 3-year purchase obligation.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165. There does not seem to be any reason to believe that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market price to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which covers purchases exceeding [X], will deviate significantly from the world market price. Combined, there will be no incentive to agree on a price other than the world market price.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will be willing to sell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at a price higher than or equal to the world market </w:t>
      </w:r>
      <w:r w:rsidRPr="00B102F4">
        <w:rPr>
          <w:rFonts w:ascii="Times New Roman" w:eastAsia="Times New Roman" w:hAnsi="Times New Roman" w:cs="Times New Roman"/>
          <w:sz w:val="24"/>
          <w:szCs w:val="24"/>
          <w:lang w:val="en" w:eastAsia="da-DK"/>
        </w:rPr>
        <w:lastRenderedPageBreak/>
        <w:t xml:space="preserve">price. The price will not be set lower, as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will have no incentive to sell at a lower price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than the company can obtain elsewhere. This applies even though the division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profit will reimburse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[X] % of any discount, but [X] % will go to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At the same time,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will only be willing to have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purchase at a price lower than or equal to the world market price. If the price is higher than the world market price,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(here: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will have no incentive to purchase [X] %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Combined, the interests of the parties involved will pull in opposite directions, and the only equilibrium is where the price is set equal to the world market price. </w:t>
      </w:r>
    </w:p>
    <w:p w:rsidR="00B102F4" w:rsidRPr="00B102F4" w:rsidRDefault="00B102F4" w:rsidP="00B102F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proofErr w:type="spellStart"/>
      <w:r w:rsidRPr="00B102F4">
        <w:rPr>
          <w:rFonts w:ascii="Times New Roman" w:eastAsia="Times New Roman" w:hAnsi="Times New Roman" w:cs="Times New Roman"/>
          <w:b/>
          <w:bCs/>
          <w:sz w:val="24"/>
          <w:szCs w:val="24"/>
          <w:lang w:val="en" w:eastAsia="da-DK"/>
        </w:rPr>
        <w:t>Ferti</w:t>
      </w:r>
      <w:proofErr w:type="spellEnd"/>
      <w:r w:rsidRPr="00B102F4">
        <w:rPr>
          <w:rFonts w:ascii="Times New Roman" w:eastAsia="Times New Roman" w:hAnsi="Times New Roman" w:cs="Times New Roman"/>
          <w:b/>
          <w:bCs/>
          <w:sz w:val="24"/>
          <w:szCs w:val="24"/>
          <w:lang w:val="en" w:eastAsia="da-DK"/>
        </w:rPr>
        <w:t xml:space="preserve"> Supply’s sales prices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166. Prices downstream will be based on continuous negotiations between the parties, as no detailed agreements have been made for the calculations of this price. This price setting covers all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sales to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who are obliged to place all their fertilizer purchases with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for the first 3 years. After 3 years, this obligation is no longer in force; however, there will still be a strong incentive to place part of the purchases with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whenever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purchase price, i.e. the ARA cost price, is </w:t>
      </w:r>
      <w:proofErr w:type="spellStart"/>
      <w:r w:rsidRPr="00B102F4">
        <w:rPr>
          <w:rFonts w:ascii="Times New Roman" w:eastAsia="Times New Roman" w:hAnsi="Times New Roman" w:cs="Times New Roman"/>
          <w:sz w:val="24"/>
          <w:szCs w:val="24"/>
          <w:lang w:val="en" w:eastAsia="da-DK"/>
        </w:rPr>
        <w:t>favourable</w:t>
      </w:r>
      <w:proofErr w:type="spellEnd"/>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167. As mentioned, the pricing applied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sales will not be based directly on the market price, but will be based on internal guidelines, a so-called “cost plus price”. The link between developments in the market and the pricing in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therefore, to a certain extent disrupted and replaced by negotiated prices. Thereby, the pressure for setting clear-cut market prices is reduced.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168. Also, fertilizers are typically ordered in advance through a forecasting procedure. The parties have agreed that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as well as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are to make estimates of the quantities requested from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respectively, in due time before the beginning of the fertilizer year. This means that the parties will have an incentive to place [X] % of their demand at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for which they can obtain a price expectedly below the market price during spring.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169. The price downstream, the cost plus price, must be assumed to be set at a level where it at least covers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costs. Besides that, the agreement gives only limited guidance for the price setting. Thus, there will be free scope to set the price when costs have been covered.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will have an interest in a high price, as it will increase the profit of the joint venture, whereas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will have an interest in a low price. They will prefer to obtain a potential profit through their retail outlets. The result hereof is uncertain, especially for the initial 3 years, where both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are tied by the exclusivity agreements with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This means that the usual marketwise pressure for keeping prices low is set aside for the 55-60 % of the wholesale/retail market covered by the exclusivities. This increases the risk that prices will be higher than market prices. After the initial 3 years, the exclusivities are dissolved, and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as well as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will be free to benefit from trading directly with other wholesalers/retailers/producers without having to go through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170.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will, as a result of the cooperation, purchase all their fertilizers jointly and at the same price for the initial 3 years. As their purchase price makes up more than [X] % of the retail price, a significant risk of tacit collusion arises. Such collusion will affect [up to 60] % of the wholesale/retail market, where prices are likely to increase. Parallel to the cooperation between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the other larger player on the market, DLA, will enter into a vertical agreement with </w:t>
      </w:r>
      <w:proofErr w:type="spellStart"/>
      <w:r w:rsidRPr="00B102F4">
        <w:rPr>
          <w:rFonts w:ascii="Times New Roman" w:eastAsia="Times New Roman" w:hAnsi="Times New Roman" w:cs="Times New Roman"/>
          <w:sz w:val="24"/>
          <w:szCs w:val="24"/>
          <w:lang w:val="en" w:eastAsia="da-DK"/>
        </w:rPr>
        <w:lastRenderedPageBreak/>
        <w:t>Kemira</w:t>
      </w:r>
      <w:proofErr w:type="spellEnd"/>
      <w:r w:rsidRPr="00B102F4">
        <w:rPr>
          <w:rFonts w:ascii="Times New Roman" w:eastAsia="Times New Roman" w:hAnsi="Times New Roman" w:cs="Times New Roman"/>
          <w:sz w:val="24"/>
          <w:szCs w:val="24"/>
          <w:lang w:val="en" w:eastAsia="da-DK"/>
        </w:rPr>
        <w:t xml:space="preserve"> covering approximately 1/3 of the retail market. Besides DLG,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and DLA, only </w:t>
      </w:r>
      <w:proofErr w:type="spellStart"/>
      <w:r w:rsidRPr="00B102F4">
        <w:rPr>
          <w:rFonts w:ascii="Times New Roman" w:eastAsia="Times New Roman" w:hAnsi="Times New Roman" w:cs="Times New Roman"/>
          <w:sz w:val="24"/>
          <w:szCs w:val="24"/>
          <w:lang w:val="en" w:eastAsia="da-DK"/>
        </w:rPr>
        <w:t>Aarhusegnens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Andel</w:t>
      </w:r>
      <w:proofErr w:type="spellEnd"/>
      <w:r w:rsidRPr="00B102F4">
        <w:rPr>
          <w:rFonts w:ascii="Times New Roman" w:eastAsia="Times New Roman" w:hAnsi="Times New Roman" w:cs="Times New Roman"/>
          <w:sz w:val="24"/>
          <w:szCs w:val="24"/>
          <w:lang w:val="en" w:eastAsia="da-DK"/>
        </w:rPr>
        <w:t xml:space="preserve"> (</w:t>
      </w:r>
      <w:proofErr w:type="spellStart"/>
      <w:proofErr w:type="gramStart"/>
      <w:r w:rsidRPr="00B102F4">
        <w:rPr>
          <w:rFonts w:ascii="Times New Roman" w:eastAsia="Times New Roman" w:hAnsi="Times New Roman" w:cs="Times New Roman"/>
          <w:sz w:val="24"/>
          <w:szCs w:val="24"/>
          <w:lang w:val="en" w:eastAsia="da-DK"/>
        </w:rPr>
        <w:t>AaA</w:t>
      </w:r>
      <w:proofErr w:type="spellEnd"/>
      <w:proofErr w:type="gramEnd"/>
      <w:r w:rsidRPr="00B102F4">
        <w:rPr>
          <w:rFonts w:ascii="Times New Roman" w:eastAsia="Times New Roman" w:hAnsi="Times New Roman" w:cs="Times New Roman"/>
          <w:sz w:val="24"/>
          <w:szCs w:val="24"/>
          <w:lang w:val="en" w:eastAsia="da-DK"/>
        </w:rPr>
        <w:t xml:space="preserve">) is a competitor and this is only the case in Central Jutland. </w:t>
      </w:r>
      <w:proofErr w:type="spellStart"/>
      <w:proofErr w:type="gramStart"/>
      <w:r w:rsidRPr="00B102F4">
        <w:rPr>
          <w:rFonts w:ascii="Times New Roman" w:eastAsia="Times New Roman" w:hAnsi="Times New Roman" w:cs="Times New Roman"/>
          <w:sz w:val="24"/>
          <w:szCs w:val="24"/>
          <w:lang w:val="en" w:eastAsia="da-DK"/>
        </w:rPr>
        <w:t>AaA</w:t>
      </w:r>
      <w:proofErr w:type="spellEnd"/>
      <w:proofErr w:type="gramEnd"/>
      <w:r w:rsidRPr="00B102F4">
        <w:rPr>
          <w:rFonts w:ascii="Times New Roman" w:eastAsia="Times New Roman" w:hAnsi="Times New Roman" w:cs="Times New Roman"/>
          <w:sz w:val="24"/>
          <w:szCs w:val="24"/>
          <w:lang w:val="en" w:eastAsia="da-DK"/>
        </w:rPr>
        <w:t xml:space="preserve"> is, however, a small player on the market and is only active locally. After the effectuation of these agreements, the wholesale fertilizer market will therefore be a duopoly. According to economic theory, firms operating on a duopoly/oligopoly market with homogenous goods and entry barriers tend to sustain high prices, as the threat of a vigorous price war deters any temptation to cut prices, i.e. </w:t>
      </w:r>
      <w:proofErr w:type="spellStart"/>
      <w:r w:rsidRPr="00B102F4">
        <w:rPr>
          <w:rFonts w:ascii="Times New Roman" w:eastAsia="Times New Roman" w:hAnsi="Times New Roman" w:cs="Times New Roman"/>
          <w:sz w:val="24"/>
          <w:szCs w:val="24"/>
          <w:lang w:val="en" w:eastAsia="da-DK"/>
        </w:rPr>
        <w:t>oligopolists</w:t>
      </w:r>
      <w:proofErr w:type="spellEnd"/>
      <w:r w:rsidRPr="00B102F4">
        <w:rPr>
          <w:rFonts w:ascii="Times New Roman" w:eastAsia="Times New Roman" w:hAnsi="Times New Roman" w:cs="Times New Roman"/>
          <w:sz w:val="24"/>
          <w:szCs w:val="24"/>
          <w:lang w:val="en" w:eastAsia="da-DK"/>
        </w:rPr>
        <w:t xml:space="preserve"> will often find it profitable to collude in a non-cooperative manner.</w:t>
      </w:r>
      <w:bookmarkStart w:id="84" w:name="_ftnref41"/>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"_ftn41"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[41]</w:t>
      </w:r>
      <w:r w:rsidRPr="00B102F4">
        <w:rPr>
          <w:rFonts w:ascii="Times New Roman" w:eastAsia="Times New Roman" w:hAnsi="Times New Roman" w:cs="Times New Roman"/>
          <w:sz w:val="24"/>
          <w:szCs w:val="24"/>
          <w:lang w:val="en" w:eastAsia="da-DK"/>
        </w:rPr>
        <w:fldChar w:fldCharType="end"/>
      </w:r>
      <w:bookmarkEnd w:id="84"/>
      <w:r w:rsidRPr="00B102F4">
        <w:rPr>
          <w:rFonts w:ascii="Times New Roman" w:eastAsia="Times New Roman" w:hAnsi="Times New Roman" w:cs="Times New Roman"/>
          <w:sz w:val="24"/>
          <w:szCs w:val="24"/>
          <w:lang w:val="en" w:eastAsia="da-DK"/>
        </w:rPr>
        <w:t xml:space="preserve"> DLG,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and DLA will, as actors in an oligopoly market, tend to keep a watchful eye on each other rather than concentrating on keeping prices low.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171. As a consequence of the lack of effective competition in the wholesale segment, price competition will primarily take place in the retail segment. However, this competition may also be impeded by the mechanisms elaborated on below. </w:t>
      </w:r>
    </w:p>
    <w:p w:rsidR="00B102F4" w:rsidRPr="00B102F4" w:rsidRDefault="00B102F4" w:rsidP="00B102F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B102F4">
        <w:rPr>
          <w:rFonts w:ascii="Times New Roman" w:eastAsia="Times New Roman" w:hAnsi="Times New Roman" w:cs="Times New Roman"/>
          <w:b/>
          <w:bCs/>
          <w:sz w:val="24"/>
          <w:szCs w:val="24"/>
          <w:lang w:val="en" w:eastAsia="da-DK"/>
        </w:rPr>
        <w:t>DLG/</w:t>
      </w:r>
      <w:proofErr w:type="spellStart"/>
      <w:r w:rsidRPr="00B102F4">
        <w:rPr>
          <w:rFonts w:ascii="Times New Roman" w:eastAsia="Times New Roman" w:hAnsi="Times New Roman" w:cs="Times New Roman"/>
          <w:b/>
          <w:bCs/>
          <w:sz w:val="24"/>
          <w:szCs w:val="24"/>
          <w:lang w:val="en" w:eastAsia="da-DK"/>
        </w:rPr>
        <w:t>AgroDK’s</w:t>
      </w:r>
      <w:proofErr w:type="spellEnd"/>
      <w:r w:rsidRPr="00B102F4">
        <w:rPr>
          <w:rFonts w:ascii="Times New Roman" w:eastAsia="Times New Roman" w:hAnsi="Times New Roman" w:cs="Times New Roman"/>
          <w:b/>
          <w:bCs/>
          <w:sz w:val="24"/>
          <w:szCs w:val="24"/>
          <w:lang w:val="en" w:eastAsia="da-DK"/>
        </w:rPr>
        <w:t xml:space="preserve"> sales prices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172. DLG and members of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compete with DLA members and other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companies on sales to farmers. Retailers offer farmers a wide assortment of products, used in the production activities of the farmers, including electricity, telecommunication etc.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companies have set up a fine-meshed net of retail outlets, which handle the direct contact to farmers. It demands considerable resources to maintain such a fine-meshed net in case it is only used during a small part of the year. Fertilizers are pronouncedly seasonal products, and the same is the case for several other products such as seeds, and to a lesser extent pesticides, purchase of grain and sales of feed, incl. vitamins. The competitive pressure varies from product to product. With keen competition on some of the other products, DLG/</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retailers may have an incentive to keep fertilizer prices relatively high, and use the gained profit to lower prices on other products (which may constitute a larger part of total turnover, e.g. animal feed). Thereby, the cooperation may enable them to put a squeeze on their </w:t>
      </w:r>
      <w:proofErr w:type="spellStart"/>
      <w:r w:rsidRPr="00B102F4">
        <w:rPr>
          <w:rFonts w:ascii="Times New Roman" w:eastAsia="Times New Roman" w:hAnsi="Times New Roman" w:cs="Times New Roman"/>
          <w:sz w:val="24"/>
          <w:szCs w:val="24"/>
          <w:lang w:val="en" w:eastAsia="da-DK"/>
        </w:rPr>
        <w:t>competitiors</w:t>
      </w:r>
      <w:proofErr w:type="spellEnd"/>
      <w:r w:rsidRPr="00B102F4">
        <w:rPr>
          <w:rFonts w:ascii="Times New Roman" w:eastAsia="Times New Roman" w:hAnsi="Times New Roman" w:cs="Times New Roman"/>
          <w:sz w:val="24"/>
          <w:szCs w:val="24"/>
          <w:lang w:val="en" w:eastAsia="da-DK"/>
        </w:rPr>
        <w:t xml:space="preserve">, for example within the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sector.</w:t>
      </w:r>
      <w:bookmarkStart w:id="85" w:name="_ftnref42"/>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"_ftn42"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[42]</w:t>
      </w:r>
      <w:r w:rsidRPr="00B102F4">
        <w:rPr>
          <w:rFonts w:ascii="Times New Roman" w:eastAsia="Times New Roman" w:hAnsi="Times New Roman" w:cs="Times New Roman"/>
          <w:sz w:val="24"/>
          <w:szCs w:val="24"/>
          <w:lang w:val="en" w:eastAsia="da-DK"/>
        </w:rPr>
        <w:fldChar w:fldCharType="end"/>
      </w:r>
      <w:bookmarkEnd w:id="85"/>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173. The net result is likely to be higher fertilizer prices to farmers compared to a situation with market competition. Prices may, nevertheless, be somewhat lower than before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First, fertilizer prices vary from one year to another. Next, as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takes over distribution, the parties expect optimization of logistic functions and purchasing benefits in the size of approximately [X] %. This should create a profit for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 profit of which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receive [X] %. This should enable them to lower the prices they set to their retailers.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174. In a market characterized by diminutive demand elasticity, barriers to entry and price-conscious purchasers, the price effects of a limitation of competition can be considerable.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86" w:name="_Toc128203483"/>
      <w:bookmarkEnd w:id="86"/>
      <w:r w:rsidRPr="00B102F4">
        <w:rPr>
          <w:rFonts w:ascii="Times New Roman" w:eastAsia="Times New Roman" w:hAnsi="Times New Roman" w:cs="Times New Roman"/>
          <w:b/>
          <w:bCs/>
          <w:sz w:val="27"/>
          <w:szCs w:val="27"/>
          <w:lang w:val="en" w:eastAsia="da-DK"/>
        </w:rPr>
        <w:t>Ancillary restraints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175. The parties submit that the agreements entered into between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the parent companies do not contain any provisions restricting competition, and if they do, they are directly related and necessary to the creation and implementation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i.e. ancillary to the transaction, because they do not go beyond what is necessary and proportionate in order to establish, implement and </w:t>
      </w:r>
      <w:proofErr w:type="spellStart"/>
      <w:r w:rsidRPr="00B102F4">
        <w:rPr>
          <w:rFonts w:ascii="Times New Roman" w:eastAsia="Times New Roman" w:hAnsi="Times New Roman" w:cs="Times New Roman"/>
          <w:sz w:val="24"/>
          <w:szCs w:val="24"/>
          <w:lang w:val="en" w:eastAsia="da-DK"/>
        </w:rPr>
        <w:t>realise</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in the market.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 xml:space="preserve">176. The DCA does not agree.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significantly impedes competition in the Danish fertilizer market(s) with respect to foreclosure and negative price effects, and the so-called ancillary agreements contributes decisively hereto. The present case involves exceptional circumstances (especially the combination of more restraints that individually could have been ancillary, but when combined are not) that are not dealt with by the general guidelines on ancillary restraints.</w:t>
      </w:r>
      <w:bookmarkStart w:id="87" w:name="_ftnref43"/>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"_ftn43"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[43]</w:t>
      </w:r>
      <w:r w:rsidRPr="00B102F4">
        <w:rPr>
          <w:rFonts w:ascii="Times New Roman" w:eastAsia="Times New Roman" w:hAnsi="Times New Roman" w:cs="Times New Roman"/>
          <w:sz w:val="24"/>
          <w:szCs w:val="24"/>
          <w:lang w:val="en" w:eastAsia="da-DK"/>
        </w:rPr>
        <w:fldChar w:fldCharType="end"/>
      </w:r>
      <w:bookmarkEnd w:id="87"/>
      <w:r w:rsidRPr="00B102F4">
        <w:rPr>
          <w:rFonts w:ascii="Times New Roman" w:eastAsia="Times New Roman" w:hAnsi="Times New Roman" w:cs="Times New Roman"/>
          <w:sz w:val="24"/>
          <w:szCs w:val="24"/>
          <w:lang w:val="en" w:eastAsia="da-DK"/>
        </w:rPr>
        <w:t xml:space="preserve"> The DCA will assess the effect of the restraints outside the normal scope for ancillary restraints.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177</w:t>
      </w:r>
      <w:proofErr w:type="gramStart"/>
      <w:r w:rsidRPr="00B102F4">
        <w:rPr>
          <w:rFonts w:ascii="Times New Roman" w:eastAsia="Times New Roman" w:hAnsi="Times New Roman" w:cs="Times New Roman"/>
          <w:sz w:val="24"/>
          <w:szCs w:val="24"/>
          <w:lang w:val="en" w:eastAsia="da-DK"/>
        </w:rPr>
        <w:t>.The</w:t>
      </w:r>
      <w:proofErr w:type="gramEnd"/>
      <w:r w:rsidRPr="00B102F4">
        <w:rPr>
          <w:rFonts w:ascii="Times New Roman" w:eastAsia="Times New Roman" w:hAnsi="Times New Roman" w:cs="Times New Roman"/>
          <w:sz w:val="24"/>
          <w:szCs w:val="24"/>
          <w:lang w:val="en" w:eastAsia="da-DK"/>
        </w:rPr>
        <w:t xml:space="preserve"> restraints referred to are (</w:t>
      </w:r>
      <w:proofErr w:type="spellStart"/>
      <w:r w:rsidRPr="00B102F4">
        <w:rPr>
          <w:rFonts w:ascii="Times New Roman" w:eastAsia="Times New Roman" w:hAnsi="Times New Roman" w:cs="Times New Roman"/>
          <w:sz w:val="24"/>
          <w:szCs w:val="24"/>
          <w:lang w:val="en" w:eastAsia="da-DK"/>
        </w:rPr>
        <w:t>i</w:t>
      </w:r>
      <w:proofErr w:type="spellEnd"/>
      <w:r w:rsidRPr="00B102F4">
        <w:rPr>
          <w:rFonts w:ascii="Times New Roman" w:eastAsia="Times New Roman" w:hAnsi="Times New Roman" w:cs="Times New Roman"/>
          <w:sz w:val="24"/>
          <w:szCs w:val="24"/>
          <w:lang w:val="en" w:eastAsia="da-DK"/>
        </w:rPr>
        <w:t xml:space="preserve">) the appointment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as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sole distributor, (ii) the exclusivity provisions agreed between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respectively, and (iii)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minimum purchase obligation – all confined to a period of 3 years.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178. The appointment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as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sole distributor in Denmark goes beyond what is necessary when it is combined with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obligation to source at least [X]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The aim is to secure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 supply channel and to protect the joint venture from unfair competition from the parent company,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Supply security is already achieved through the minimum purchase/supply obligation. However,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appointment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as their sole distributor does not significantly impede competition in Denmark due to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position in the production market.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179. The exclusivity provisions (non-compete clauses) in the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agreements go beyond what is necessary; in fact, these are the restraints which create the main customer foreclosure effects. Competitors to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are only able to sell directly to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3 years after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in other words: 55-60 % of the market is inaccessible for 3 years. The </w:t>
      </w:r>
      <w:proofErr w:type="gramStart"/>
      <w:r w:rsidRPr="00B102F4">
        <w:rPr>
          <w:rFonts w:ascii="Times New Roman" w:eastAsia="Times New Roman" w:hAnsi="Times New Roman" w:cs="Times New Roman"/>
          <w:sz w:val="24"/>
          <w:szCs w:val="24"/>
          <w:lang w:val="en" w:eastAsia="da-DK"/>
        </w:rPr>
        <w:t>parties</w:t>
      </w:r>
      <w:proofErr w:type="gramEnd"/>
      <w:r w:rsidRPr="00B102F4">
        <w:rPr>
          <w:rFonts w:ascii="Times New Roman" w:eastAsia="Times New Roman" w:hAnsi="Times New Roman" w:cs="Times New Roman"/>
          <w:sz w:val="24"/>
          <w:szCs w:val="24"/>
          <w:lang w:val="en" w:eastAsia="da-DK"/>
        </w:rPr>
        <w:t xml:space="preserve"> state that the non-compete clauses are put in place so that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do not undermine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by way of unfair competition, and so that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secured a sufficient customer base in the start-up phase. It is not necessary in order to secure a sufficient customer base that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are obliged to source all their requirements from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exclusively. Given the general advantage of the ARA cost price,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will automatically have an incentive to purchase at least [X] from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Thus, the obligation goes too far as it completely eliminates the possibility for others to sell to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directly for 3 years.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180. In the opinion of the DCA, the only ancillary (necessary and proportional) provision for the establishment and implementation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in the market is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obligation to purchase/</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obligation to supply [X] tons [] from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This obligation ensures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security of a certain volume, which can be viewed as ancillary for a start-up period of 3 years.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181. Removing the anti-competitive restraints would still make it possible for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to be implemented successfully in the fertilizer markets.</w:t>
      </w:r>
      <w:bookmarkStart w:id="88" w:name="_ftnref44"/>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"_ftn44"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[44]</w:t>
      </w:r>
      <w:r w:rsidRPr="00B102F4">
        <w:rPr>
          <w:rFonts w:ascii="Times New Roman" w:eastAsia="Times New Roman" w:hAnsi="Times New Roman" w:cs="Times New Roman"/>
          <w:sz w:val="24"/>
          <w:szCs w:val="24"/>
          <w:lang w:val="en" w:eastAsia="da-DK"/>
        </w:rPr>
        <w:fldChar w:fldCharType="end"/>
      </w:r>
      <w:bookmarkEnd w:id="88"/>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89" w:name="_Toc128203484"/>
      <w:bookmarkEnd w:id="89"/>
      <w:r w:rsidRPr="00B102F4">
        <w:rPr>
          <w:rFonts w:ascii="Times New Roman" w:eastAsia="Times New Roman" w:hAnsi="Times New Roman" w:cs="Times New Roman"/>
          <w:b/>
          <w:bCs/>
          <w:sz w:val="36"/>
          <w:szCs w:val="36"/>
          <w:lang w:val="en" w:eastAsia="da-DK"/>
        </w:rPr>
        <w:t xml:space="preserve">Preliminary conclusion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182. According to Danish competition rules, a merger which significantly impedes effective competition, in particular as a result of the creation or strengthening of a dominant position, shall be prohibited.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lastRenderedPageBreak/>
        <w:t xml:space="preserve">183. With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DLG and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(having a combined market share of 55-60 %) pre-existing dominant position on the Danish wholesale and retail markets will be strengthened significantly. The closest competitor is DLA Agro with a share of around 1/3 of the markets and the next competitor has less than 10 %.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184. Especially during the first 3 years after it has been put into effect,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impede effective competition significantly. This is due to the fact that the establishment of the joint venture entails a high degree of vertical integration shielding the market significantly from competition. Similarly, retailers will be tied to the vertically integrated unit causing customer foreclosure, which may lead to difficulties for retailers with obtaining products from other producers without having access to the established network.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185. In addition, there is a risk that the potential advantages (synergies) that the new unit brings about are not reflected in lower retail fertilizer prices to end-users. There is a risk of tacit collusion and a likelihood that the parties </w:t>
      </w:r>
      <w:proofErr w:type="spellStart"/>
      <w:r w:rsidRPr="00B102F4">
        <w:rPr>
          <w:rFonts w:ascii="Times New Roman" w:eastAsia="Times New Roman" w:hAnsi="Times New Roman" w:cs="Times New Roman"/>
          <w:sz w:val="24"/>
          <w:szCs w:val="24"/>
          <w:lang w:val="en" w:eastAsia="da-DK"/>
        </w:rPr>
        <w:t>utilises</w:t>
      </w:r>
      <w:proofErr w:type="spellEnd"/>
      <w:r w:rsidRPr="00B102F4">
        <w:rPr>
          <w:rFonts w:ascii="Times New Roman" w:eastAsia="Times New Roman" w:hAnsi="Times New Roman" w:cs="Times New Roman"/>
          <w:sz w:val="24"/>
          <w:szCs w:val="24"/>
          <w:lang w:val="en" w:eastAsia="da-DK"/>
        </w:rPr>
        <w:t xml:space="preserve"> the profit from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to lower prices on other products already subject to active competition, thereby putting a squeeze on competing companies.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186. Based upon the above, it can thus be concluded that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will impede effective competition in the Danish fertilizer market(s) significantly, in particular as a result of the strengthening of DLG’s (and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dominant position. </w:t>
      </w:r>
    </w:p>
    <w:p w:rsidR="00B102F4" w:rsidRPr="00B102F4" w:rsidRDefault="00B102F4" w:rsidP="00B102F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bookmarkStart w:id="90" w:name="_Toc128203485"/>
      <w:bookmarkEnd w:id="90"/>
      <w:r w:rsidRPr="00B102F4">
        <w:rPr>
          <w:rFonts w:ascii="Times New Roman" w:eastAsia="Times New Roman" w:hAnsi="Times New Roman" w:cs="Times New Roman"/>
          <w:b/>
          <w:bCs/>
          <w:sz w:val="27"/>
          <w:szCs w:val="27"/>
          <w:lang w:val="en" w:eastAsia="da-DK"/>
        </w:rPr>
        <w:t>Proposed commitments</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187. The parties have submitted commitments that will abolish the agreed exclusivities downstream and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Supply’s long term minimum purchase obligation upstream.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188. In short, the parties have agreed that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before 1 April each year will negotiate one-year-quantity contracts with both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and DLG/</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189. The one-year-quantity contracts stipulate the purchase obligations of respectively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towards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for the coming fertilizer year and, at the same time, the respective purchase and delivery obligations between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and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for the same fertilizer year.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may act as </w:t>
      </w:r>
      <w:proofErr w:type="spellStart"/>
      <w:r w:rsidRPr="00B102F4">
        <w:rPr>
          <w:rFonts w:ascii="Times New Roman" w:eastAsia="Times New Roman" w:hAnsi="Times New Roman" w:cs="Times New Roman"/>
          <w:sz w:val="24"/>
          <w:szCs w:val="24"/>
          <w:lang w:val="en" w:eastAsia="da-DK"/>
        </w:rPr>
        <w:t>Yara’s</w:t>
      </w:r>
      <w:proofErr w:type="spellEnd"/>
      <w:r w:rsidRPr="00B102F4">
        <w:rPr>
          <w:rFonts w:ascii="Times New Roman" w:eastAsia="Times New Roman" w:hAnsi="Times New Roman" w:cs="Times New Roman"/>
          <w:sz w:val="24"/>
          <w:szCs w:val="24"/>
          <w:lang w:val="en" w:eastAsia="da-DK"/>
        </w:rPr>
        <w:t xml:space="preserve"> sole distributor that year.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190. The new contracts will expire automatically on 30 June the next year, giving other producers/wholesalers access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and their distribution network. The [X] minimum purchase obligation that existed before the proposed commitments has been abolished and replaced by a one-year-quantity agreement. Competitors shall thus have the same opportunity as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to approach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with competitive offers, and neither is bound by any pre-existing, long term minimum purchase obligations. In this way, the Danish fertilizer market will not be locked in. Thus, attractive offers from competitors can find their way to Danish retailers and contribute to increase the competitive pressure on retail prices.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b/>
          <w:bCs/>
          <w:sz w:val="24"/>
          <w:szCs w:val="24"/>
          <w:lang w:val="en" w:eastAsia="da-DK"/>
        </w:rPr>
        <w:t>Figure 6: Agreement structure following the proposed commitments</w:t>
      </w:r>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tblGrid>
      <w:tr w:rsidR="00B102F4" w:rsidRPr="00B102F4" w:rsidTr="00B102F4">
        <w:trPr>
          <w:tblCellSpacing w:w="15" w:type="dxa"/>
        </w:trPr>
        <w:tc>
          <w:tcPr>
            <w:tcW w:w="0" w:type="auto"/>
            <w:vAlign w:val="center"/>
            <w:hideMark/>
          </w:tcPr>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eastAsia="da-DK"/>
              </w:rPr>
            </w:pPr>
            <w:r w:rsidRPr="00B102F4">
              <w:rPr>
                <w:rFonts w:ascii="Times New Roman" w:eastAsia="Times New Roman" w:hAnsi="Times New Roman" w:cs="Times New Roman"/>
                <w:noProof/>
                <w:sz w:val="24"/>
                <w:szCs w:val="24"/>
                <w:lang w:eastAsia="da-DK"/>
              </w:rPr>
              <w:lastRenderedPageBreak/>
              <w:drawing>
                <wp:inline distT="0" distB="0" distL="0" distR="0" wp14:anchorId="6F34175C" wp14:editId="3C711FFB">
                  <wp:extent cx="4524375" cy="3390900"/>
                  <wp:effectExtent l="0" t="0" r="9525" b="0"/>
                  <wp:docPr id="1" name="Billede 1" descr="Figure 6: Agreement structure following the proposed commit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6: Agreement structure following the proposed commitment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24375" cy="3390900"/>
                          </a:xfrm>
                          <a:prstGeom prst="rect">
                            <a:avLst/>
                          </a:prstGeom>
                          <a:noFill/>
                          <a:ln>
                            <a:noFill/>
                          </a:ln>
                        </pic:spPr>
                      </pic:pic>
                    </a:graphicData>
                  </a:graphic>
                </wp:inline>
              </w:drawing>
            </w:r>
          </w:p>
        </w:tc>
      </w:tr>
    </w:tbl>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91" w:name="_Toc128203486"/>
      <w:bookmarkEnd w:id="91"/>
      <w:r w:rsidRPr="00B102F4">
        <w:rPr>
          <w:rFonts w:ascii="Times New Roman" w:eastAsia="Times New Roman" w:hAnsi="Times New Roman" w:cs="Times New Roman"/>
          <w:b/>
          <w:bCs/>
          <w:sz w:val="36"/>
          <w:szCs w:val="36"/>
          <w:lang w:val="en" w:eastAsia="da-DK"/>
        </w:rPr>
        <w:t xml:space="preserve">Final conclusion based on the submitted commitments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191. The proposed commitments will, accordingly, meet the competitive concerns identified, and the DCA concludes – on this basis – that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does not significantly impede effective competition in the Danish fertilizer market, in particular as a result of the creation or strengthening of a dominant position, why it shall be approved, cf. Section 12c (1) and Section 12e (1) of the Danish Competition Act, on condition that the notifying parties implement the proposed commitments before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put into effect.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w:t>
      </w:r>
      <w:proofErr w:type="spellStart"/>
      <w:proofErr w:type="gramStart"/>
      <w:r w:rsidRPr="00B102F4">
        <w:rPr>
          <w:rFonts w:ascii="Times New Roman" w:eastAsia="Times New Roman" w:hAnsi="Times New Roman" w:cs="Times New Roman"/>
          <w:sz w:val="24"/>
          <w:szCs w:val="24"/>
          <w:lang w:val="en" w:eastAsia="da-DK"/>
        </w:rPr>
        <w:t>oOo</w:t>
      </w:r>
      <w:proofErr w:type="spellEnd"/>
      <w:proofErr w:type="gramEnd"/>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92" w:name="_Toc128203487"/>
      <w:bookmarkEnd w:id="92"/>
      <w:r w:rsidRPr="00B102F4">
        <w:rPr>
          <w:rFonts w:ascii="Times New Roman" w:eastAsia="Times New Roman" w:hAnsi="Times New Roman" w:cs="Times New Roman"/>
          <w:b/>
          <w:bCs/>
          <w:sz w:val="36"/>
          <w:szCs w:val="36"/>
          <w:lang w:val="en" w:eastAsia="da-DK"/>
        </w:rPr>
        <w:t xml:space="preserve">Coordinated effects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192.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does not – as such – have as its object or effect </w:t>
      </w:r>
      <w:proofErr w:type="spellStart"/>
      <w:r w:rsidRPr="00B102F4">
        <w:rPr>
          <w:rFonts w:ascii="Times New Roman" w:eastAsia="Times New Roman" w:hAnsi="Times New Roman" w:cs="Times New Roman"/>
          <w:sz w:val="24"/>
          <w:szCs w:val="24"/>
          <w:lang w:val="en" w:eastAsia="da-DK"/>
        </w:rPr>
        <w:t>co-ordinating</w:t>
      </w:r>
      <w:proofErr w:type="spellEnd"/>
      <w:r w:rsidRPr="00B102F4">
        <w:rPr>
          <w:rFonts w:ascii="Times New Roman" w:eastAsia="Times New Roman" w:hAnsi="Times New Roman" w:cs="Times New Roman"/>
          <w:sz w:val="24"/>
          <w:szCs w:val="24"/>
          <w:lang w:val="en" w:eastAsia="da-DK"/>
        </w:rPr>
        <w:t xml:space="preserve"> of the competitive </w:t>
      </w:r>
      <w:proofErr w:type="spellStart"/>
      <w:r w:rsidRPr="00B102F4">
        <w:rPr>
          <w:rFonts w:ascii="Times New Roman" w:eastAsia="Times New Roman" w:hAnsi="Times New Roman" w:cs="Times New Roman"/>
          <w:sz w:val="24"/>
          <w:szCs w:val="24"/>
          <w:lang w:val="en" w:eastAsia="da-DK"/>
        </w:rPr>
        <w:t>behaviour</w:t>
      </w:r>
      <w:proofErr w:type="spellEnd"/>
      <w:r w:rsidRPr="00B102F4">
        <w:rPr>
          <w:rFonts w:ascii="Times New Roman" w:eastAsia="Times New Roman" w:hAnsi="Times New Roman" w:cs="Times New Roman"/>
          <w:sz w:val="24"/>
          <w:szCs w:val="24"/>
          <w:lang w:val="en" w:eastAsia="da-DK"/>
        </w:rPr>
        <w:t xml:space="preserve"> of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DLG and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as the parties will transfer all their wholesale fertilizer activities to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The agreements entered into in connection with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only concern the relationship between the parties in respect of the fertilizer market(s). They have no effect on the parties’ other activities – apart from the possible spill-over effects on the feed market etc., dealt with above, as a direct result of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xml:space="preserve">193. However, given that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is a creation of a dominant player in the Danish fertilizer market(s) and a strengthening of DLG’s (and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already dominant </w:t>
      </w:r>
      <w:r w:rsidRPr="00B102F4">
        <w:rPr>
          <w:rFonts w:ascii="Times New Roman" w:eastAsia="Times New Roman" w:hAnsi="Times New Roman" w:cs="Times New Roman"/>
          <w:sz w:val="24"/>
          <w:szCs w:val="24"/>
          <w:lang w:val="en" w:eastAsia="da-DK"/>
        </w:rPr>
        <w:lastRenderedPageBreak/>
        <w:t xml:space="preserve">position in the market, cf.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134-138, it is not necessary to assess the co-ordination effects in the fertilizer market(s), because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already in itself restricts competition considerably.</w:t>
      </w:r>
      <w:bookmarkStart w:id="93" w:name="_ftnref45"/>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"_ftn45"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[45]</w:t>
      </w:r>
      <w:r w:rsidRPr="00B102F4">
        <w:rPr>
          <w:rFonts w:ascii="Times New Roman" w:eastAsia="Times New Roman" w:hAnsi="Times New Roman" w:cs="Times New Roman"/>
          <w:sz w:val="24"/>
          <w:szCs w:val="24"/>
          <w:lang w:val="en" w:eastAsia="da-DK"/>
        </w:rPr>
        <w:fldChar w:fldCharType="end"/>
      </w:r>
      <w:bookmarkEnd w:id="93"/>
      <w:r w:rsidRPr="00B102F4">
        <w:rPr>
          <w:rFonts w:ascii="Times New Roman" w:eastAsia="Times New Roman" w:hAnsi="Times New Roman" w:cs="Times New Roman"/>
          <w:sz w:val="24"/>
          <w:szCs w:val="24"/>
          <w:lang w:val="en" w:eastAsia="da-DK"/>
        </w:rPr>
        <w:t xml:space="preserve"> </w:t>
      </w:r>
    </w:p>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t> </w:t>
      </w:r>
    </w:p>
    <w:p w:rsidR="00B102F4" w:rsidRPr="00B102F4" w:rsidRDefault="00B102F4" w:rsidP="00B102F4">
      <w:pPr>
        <w:spacing w:after="0"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pict>
          <v:rect id="_x0000_i1025" style="width:0;height:1.5pt" o:hralign="center" o:hrstd="t" o:hr="t" fillcolor="#9d9da1" stroked="f"/>
        </w:pict>
      </w:r>
    </w:p>
    <w:bookmarkStart w:id="94" w:name="_ftn1"/>
    <w:p w:rsidR="00B102F4" w:rsidRPr="00B102F4" w:rsidRDefault="00B102F4" w:rsidP="00B102F4">
      <w:pPr>
        <w:spacing w:before="100" w:beforeAutospacing="1" w:after="100" w:afterAutospacing="1" w:line="240" w:lineRule="auto"/>
        <w:rPr>
          <w:rFonts w:ascii="Times New Roman" w:eastAsia="Times New Roman" w:hAnsi="Times New Roman" w:cs="Times New Roman"/>
          <w:sz w:val="24"/>
          <w:szCs w:val="24"/>
          <w:lang w:val="en" w:eastAsia="da-DK"/>
        </w:rPr>
      </w:pPr>
      <w:r w:rsidRPr="00B102F4">
        <w:rPr>
          <w:rFonts w:ascii="Times New Roman" w:eastAsia="Times New Roman" w:hAnsi="Times New Roman" w:cs="Times New Roman"/>
          <w:sz w:val="24"/>
          <w:szCs w:val="24"/>
          <w:lang w:val="en" w:eastAsia="da-DK"/>
        </w:rPr>
        <w:fldChar w:fldCharType="begin"/>
      </w:r>
      <w:r w:rsidRPr="00B102F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"http://www.kfst.dk/en/konkurrenceomraadet/decisions/decisions-2008-and-earlier/national-decisions-2006/konkurrenceraadets-moede-den-22-februar-2006/the-creation-af-ferti-supply/" \l "_ftnref1" </w:instrText>
      </w:r>
      <w:r w:rsidRPr="00B102F4">
        <w:rPr>
          <w:rFonts w:ascii="Times New Roman" w:eastAsia="Times New Roman" w:hAnsi="Times New Roman" w:cs="Times New Roman"/>
          <w:sz w:val="24"/>
          <w:szCs w:val="24"/>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w:t>
      </w:r>
      <w:r w:rsidRPr="00B102F4">
        <w:rPr>
          <w:rFonts w:ascii="Times New Roman" w:eastAsia="Times New Roman" w:hAnsi="Times New Roman" w:cs="Times New Roman"/>
          <w:sz w:val="24"/>
          <w:szCs w:val="24"/>
          <w:lang w:val="en" w:eastAsia="da-DK"/>
        </w:rPr>
        <w:fldChar w:fldCharType="end"/>
      </w:r>
      <w:bookmarkEnd w:id="94"/>
      <w:r w:rsidRPr="00B102F4">
        <w:rPr>
          <w:rFonts w:ascii="Times New Roman" w:eastAsia="Times New Roman" w:hAnsi="Times New Roman" w:cs="Times New Roman"/>
          <w:sz w:val="24"/>
          <w:szCs w:val="24"/>
          <w:lang w:val="en" w:eastAsia="da-DK"/>
        </w:rPr>
        <w:t xml:space="preserve"> Originally, the merger had community dimension and was subject to the European Commission’s jurisdiction, but the parties requested the Commission to refer it to the Danish Competition Authority (DCA) for examination and decision.</w:t>
      </w:r>
      <w:r w:rsidRPr="00B102F4">
        <w:rPr>
          <w:rFonts w:ascii="Times New Roman" w:eastAsia="Times New Roman" w:hAnsi="Times New Roman" w:cs="Times New Roman"/>
          <w:sz w:val="24"/>
          <w:szCs w:val="24"/>
          <w:lang w:val="en" w:eastAsia="da-DK"/>
        </w:rPr>
        <w:br/>
      </w:r>
      <w:bookmarkStart w:id="95" w:name="_ftn2"/>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"_ftnref2"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w:t>
      </w:r>
      <w:r w:rsidRPr="00B102F4">
        <w:rPr>
          <w:rFonts w:ascii="Times New Roman" w:eastAsia="Times New Roman" w:hAnsi="Times New Roman" w:cs="Times New Roman"/>
          <w:sz w:val="24"/>
          <w:szCs w:val="24"/>
          <w:vertAlign w:val="superscript"/>
          <w:lang w:val="en" w:eastAsia="da-DK"/>
        </w:rPr>
        <w:fldChar w:fldCharType="end"/>
      </w:r>
      <w:bookmarkEnd w:id="95"/>
      <w:r w:rsidRPr="00B102F4">
        <w:rPr>
          <w:rFonts w:ascii="Times New Roman" w:eastAsia="Times New Roman" w:hAnsi="Times New Roman" w:cs="Times New Roman"/>
          <w:sz w:val="24"/>
          <w:szCs w:val="24"/>
          <w:lang w:val="en" w:eastAsia="da-DK"/>
        </w:rPr>
        <w:t xml:space="preserve"> DLG’s members are primarily farmers whereas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members are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retailers, the largest one being </w:t>
      </w:r>
      <w:proofErr w:type="spellStart"/>
      <w:r w:rsidRPr="00B102F4">
        <w:rPr>
          <w:rFonts w:ascii="Times New Roman" w:eastAsia="Times New Roman" w:hAnsi="Times New Roman" w:cs="Times New Roman"/>
          <w:sz w:val="24"/>
          <w:szCs w:val="24"/>
          <w:lang w:val="en" w:eastAsia="da-DK"/>
        </w:rPr>
        <w:t>Hedegaard</w:t>
      </w:r>
      <w:proofErr w:type="spellEnd"/>
      <w:r w:rsidRPr="00B102F4">
        <w:rPr>
          <w:rFonts w:ascii="Times New Roman" w:eastAsia="Times New Roman" w:hAnsi="Times New Roman" w:cs="Times New Roman"/>
          <w:sz w:val="24"/>
          <w:szCs w:val="24"/>
          <w:lang w:val="en" w:eastAsia="da-DK"/>
        </w:rPr>
        <w:t xml:space="preserve"> </w:t>
      </w:r>
      <w:r w:rsidRPr="00B102F4">
        <w:rPr>
          <w:rFonts w:ascii="Times New Roman" w:eastAsia="Times New Roman" w:hAnsi="Times New Roman" w:cs="Times New Roman"/>
          <w:i/>
          <w:iCs/>
          <w:sz w:val="24"/>
          <w:szCs w:val="24"/>
          <w:lang w:val="en" w:eastAsia="da-DK"/>
        </w:rPr>
        <w:t>agro</w:t>
      </w:r>
      <w:r w:rsidRPr="00B102F4">
        <w:rPr>
          <w:rFonts w:ascii="Times New Roman" w:eastAsia="Times New Roman" w:hAnsi="Times New Roman" w:cs="Times New Roman"/>
          <w:sz w:val="24"/>
          <w:szCs w:val="24"/>
          <w:lang w:val="en" w:eastAsia="da-DK"/>
        </w:rPr>
        <w:t xml:space="preserve">. </w:t>
      </w:r>
      <w:r w:rsidRPr="00B102F4">
        <w:rPr>
          <w:rFonts w:ascii="Times New Roman" w:eastAsia="Times New Roman" w:hAnsi="Times New Roman" w:cs="Times New Roman"/>
          <w:sz w:val="24"/>
          <w:szCs w:val="24"/>
          <w:lang w:val="en" w:eastAsia="da-DK"/>
        </w:rPr>
        <w:br/>
      </w:r>
      <w:bookmarkStart w:id="96" w:name="_ftn3"/>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"_ftnref3"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w:t>
      </w:r>
      <w:r w:rsidRPr="00B102F4">
        <w:rPr>
          <w:rFonts w:ascii="Times New Roman" w:eastAsia="Times New Roman" w:hAnsi="Times New Roman" w:cs="Times New Roman"/>
          <w:sz w:val="24"/>
          <w:szCs w:val="24"/>
          <w:vertAlign w:val="superscript"/>
          <w:lang w:val="en" w:eastAsia="da-DK"/>
        </w:rPr>
        <w:fldChar w:fldCharType="end"/>
      </w:r>
      <w:bookmarkEnd w:id="96"/>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SweDane</w:t>
      </w:r>
      <w:proofErr w:type="spellEnd"/>
      <w:r w:rsidRPr="00B102F4">
        <w:rPr>
          <w:rFonts w:ascii="Times New Roman" w:eastAsia="Times New Roman" w:hAnsi="Times New Roman" w:cs="Times New Roman"/>
          <w:sz w:val="24"/>
          <w:szCs w:val="24"/>
          <w:lang w:val="en" w:eastAsia="da-DK"/>
        </w:rPr>
        <w:t xml:space="preserve"> also purchases for </w:t>
      </w:r>
      <w:proofErr w:type="spellStart"/>
      <w:r w:rsidRPr="00B102F4">
        <w:rPr>
          <w:rFonts w:ascii="Times New Roman" w:eastAsia="Times New Roman" w:hAnsi="Times New Roman" w:cs="Times New Roman"/>
          <w:sz w:val="24"/>
          <w:szCs w:val="24"/>
          <w:lang w:val="en" w:eastAsia="da-DK"/>
        </w:rPr>
        <w:t>Svenska</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Lantmännen</w:t>
      </w:r>
      <w:proofErr w:type="spellEnd"/>
      <w:r w:rsidRPr="00B102F4">
        <w:rPr>
          <w:rFonts w:ascii="Times New Roman" w:eastAsia="Times New Roman" w:hAnsi="Times New Roman" w:cs="Times New Roman"/>
          <w:sz w:val="24"/>
          <w:szCs w:val="24"/>
          <w:lang w:val="en" w:eastAsia="da-DK"/>
        </w:rPr>
        <w:t xml:space="preserve"> and will continue to do so in the future. See for more details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42. </w:t>
      </w:r>
      <w:r w:rsidRPr="00B102F4">
        <w:rPr>
          <w:rFonts w:ascii="Times New Roman" w:eastAsia="Times New Roman" w:hAnsi="Times New Roman" w:cs="Times New Roman"/>
          <w:sz w:val="24"/>
          <w:szCs w:val="24"/>
          <w:lang w:val="en" w:eastAsia="da-DK"/>
        </w:rPr>
        <w:br/>
      </w:r>
      <w:bookmarkStart w:id="97" w:name="_ftn4"/>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"_ftnref4"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w:t>
      </w:r>
      <w:r w:rsidRPr="00B102F4">
        <w:rPr>
          <w:rFonts w:ascii="Times New Roman" w:eastAsia="Times New Roman" w:hAnsi="Times New Roman" w:cs="Times New Roman"/>
          <w:sz w:val="24"/>
          <w:szCs w:val="24"/>
          <w:vertAlign w:val="superscript"/>
          <w:lang w:val="en" w:eastAsia="da-DK"/>
        </w:rPr>
        <w:fldChar w:fldCharType="end"/>
      </w:r>
      <w:bookmarkEnd w:id="97"/>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Dokumentation</w:t>
      </w:r>
      <w:proofErr w:type="spellEnd"/>
      <w:r w:rsidRPr="00B102F4">
        <w:rPr>
          <w:rFonts w:ascii="Times New Roman" w:eastAsia="Times New Roman" w:hAnsi="Times New Roman" w:cs="Times New Roman"/>
          <w:sz w:val="24"/>
          <w:szCs w:val="24"/>
          <w:lang w:val="en" w:eastAsia="da-DK"/>
        </w:rPr>
        <w:t xml:space="preserve">”, 1994, page 349 ff. </w:t>
      </w:r>
      <w:r w:rsidRPr="00B102F4">
        <w:rPr>
          <w:rFonts w:ascii="Times New Roman" w:eastAsia="Times New Roman" w:hAnsi="Times New Roman" w:cs="Times New Roman"/>
          <w:sz w:val="24"/>
          <w:szCs w:val="24"/>
          <w:lang w:val="en" w:eastAsia="da-DK"/>
        </w:rPr>
        <w:br/>
      </w:r>
      <w:bookmarkStart w:id="98" w:name="_ftn5"/>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"_ftnref5" </w:instrText>
      </w:r>
      <w:r w:rsidRPr="00B102F4">
        <w:rPr>
          <w:rFonts w:ascii="Times New Roman" w:eastAsia="Times New Roman" w:hAnsi="Times New Roman" w:cs="Times New Roman"/>
          <w:sz w:val="24"/>
          <w:szCs w:val="24"/>
          <w:vertAlign w:val="superscript"/>
          <w:lang w:val="en" w:eastAsia="da-DK"/>
        </w:rPr>
        <w:fldChar w:fldCharType="separate"/>
      </w:r>
      <w:proofErr w:type="gramStart"/>
      <w:r w:rsidRPr="00B102F4">
        <w:rPr>
          <w:rFonts w:ascii="Times New Roman" w:eastAsia="Times New Roman" w:hAnsi="Times New Roman" w:cs="Times New Roman"/>
          <w:sz w:val="24"/>
          <w:szCs w:val="24"/>
          <w:u w:val="single"/>
          <w:vertAlign w:val="superscript"/>
          <w:lang w:val="en" w:eastAsia="da-DK"/>
        </w:rPr>
        <w:t>[5]</w:t>
      </w:r>
      <w:r w:rsidRPr="00B102F4">
        <w:rPr>
          <w:rFonts w:ascii="Times New Roman" w:eastAsia="Times New Roman" w:hAnsi="Times New Roman" w:cs="Times New Roman"/>
          <w:sz w:val="24"/>
          <w:szCs w:val="24"/>
          <w:vertAlign w:val="superscript"/>
          <w:lang w:val="en" w:eastAsia="da-DK"/>
        </w:rPr>
        <w:fldChar w:fldCharType="end"/>
      </w:r>
      <w:bookmarkEnd w:id="98"/>
      <w:r w:rsidRPr="00B102F4">
        <w:rPr>
          <w:rFonts w:ascii="Times New Roman" w:eastAsia="Times New Roman" w:hAnsi="Times New Roman" w:cs="Times New Roman"/>
          <w:sz w:val="24"/>
          <w:szCs w:val="24"/>
          <w:lang w:val="en" w:eastAsia="da-DK"/>
        </w:rPr>
        <w:t xml:space="preserve"> Apart from the production in </w:t>
      </w:r>
      <w:proofErr w:type="spellStart"/>
      <w:r w:rsidRPr="00B102F4">
        <w:rPr>
          <w:rFonts w:ascii="Times New Roman" w:eastAsia="Times New Roman" w:hAnsi="Times New Roman" w:cs="Times New Roman"/>
          <w:sz w:val="24"/>
          <w:szCs w:val="24"/>
          <w:lang w:val="en" w:eastAsia="da-DK"/>
        </w:rPr>
        <w:t>DanGødning</w:t>
      </w:r>
      <w:proofErr w:type="spellEnd"/>
      <w:r w:rsidRPr="00B102F4">
        <w:rPr>
          <w:rFonts w:ascii="Times New Roman" w:eastAsia="Times New Roman" w:hAnsi="Times New Roman" w:cs="Times New Roman"/>
          <w:sz w:val="24"/>
          <w:szCs w:val="24"/>
          <w:lang w:val="en" w:eastAsia="da-DK"/>
        </w:rPr>
        <w:t xml:space="preserve"> which amounts to [X] of the wholesale market</w:t>
      </w:r>
      <w:proofErr w:type="gramEnd"/>
      <w:r w:rsidRPr="00B102F4">
        <w:rPr>
          <w:rFonts w:ascii="Times New Roman" w:eastAsia="Times New Roman" w:hAnsi="Times New Roman" w:cs="Times New Roman"/>
          <w:sz w:val="24"/>
          <w:szCs w:val="24"/>
          <w:lang w:val="en" w:eastAsia="da-DK"/>
        </w:rPr>
        <w:t xml:space="preserve">. </w:t>
      </w:r>
      <w:r w:rsidRPr="00B102F4">
        <w:rPr>
          <w:rFonts w:ascii="Times New Roman" w:eastAsia="Times New Roman" w:hAnsi="Times New Roman" w:cs="Times New Roman"/>
          <w:sz w:val="24"/>
          <w:szCs w:val="24"/>
          <w:lang w:val="en" w:eastAsia="da-DK"/>
        </w:rPr>
        <w:br/>
      </w:r>
      <w:bookmarkStart w:id="99" w:name="_ftn6"/>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"_ftnref6"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[6]</w:t>
      </w:r>
      <w:r w:rsidRPr="00B102F4">
        <w:rPr>
          <w:rFonts w:ascii="Times New Roman" w:eastAsia="Times New Roman" w:hAnsi="Times New Roman" w:cs="Times New Roman"/>
          <w:sz w:val="24"/>
          <w:szCs w:val="24"/>
          <w:vertAlign w:val="superscript"/>
          <w:lang w:val="en" w:eastAsia="da-DK"/>
        </w:rPr>
        <w:fldChar w:fldCharType="end"/>
      </w:r>
      <w:bookmarkEnd w:id="99"/>
      <w:r w:rsidRPr="00B102F4">
        <w:rPr>
          <w:rFonts w:ascii="Times New Roman" w:eastAsia="Times New Roman" w:hAnsi="Times New Roman" w:cs="Times New Roman"/>
          <w:sz w:val="24"/>
          <w:szCs w:val="24"/>
          <w:lang w:val="en" w:eastAsia="da-DK"/>
        </w:rPr>
        <w:t xml:space="preserve"> Court of Justice of the European Communities, case C-250/92, 15 December 1994. </w:t>
      </w:r>
      <w:r w:rsidRPr="00B102F4">
        <w:rPr>
          <w:rFonts w:ascii="Times New Roman" w:eastAsia="Times New Roman" w:hAnsi="Times New Roman" w:cs="Times New Roman"/>
          <w:sz w:val="24"/>
          <w:szCs w:val="24"/>
          <w:lang w:val="en" w:eastAsia="da-DK"/>
        </w:rPr>
        <w:br/>
      </w:r>
      <w:bookmarkStart w:id="100" w:name="_ftn7"/>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"_ftnref7" </w:instrText>
      </w:r>
      <w:r w:rsidRPr="00B102F4">
        <w:rPr>
          <w:rFonts w:ascii="Times New Roman" w:eastAsia="Times New Roman" w:hAnsi="Times New Roman" w:cs="Times New Roman"/>
          <w:sz w:val="24"/>
          <w:szCs w:val="24"/>
          <w:vertAlign w:val="superscript"/>
          <w:lang w:val="en" w:eastAsia="da-DK"/>
        </w:rPr>
        <w:fldChar w:fldCharType="separate"/>
      </w:r>
      <w:proofErr w:type="gramStart"/>
      <w:r w:rsidRPr="00B102F4">
        <w:rPr>
          <w:rFonts w:ascii="Times New Roman" w:eastAsia="Times New Roman" w:hAnsi="Times New Roman" w:cs="Times New Roman"/>
          <w:sz w:val="24"/>
          <w:szCs w:val="24"/>
          <w:u w:val="single"/>
          <w:vertAlign w:val="superscript"/>
          <w:lang w:val="en" w:eastAsia="da-DK"/>
        </w:rPr>
        <w:t>[7]</w:t>
      </w:r>
      <w:r w:rsidRPr="00B102F4">
        <w:rPr>
          <w:rFonts w:ascii="Times New Roman" w:eastAsia="Times New Roman" w:hAnsi="Times New Roman" w:cs="Times New Roman"/>
          <w:sz w:val="24"/>
          <w:szCs w:val="24"/>
          <w:vertAlign w:val="superscript"/>
          <w:lang w:val="en" w:eastAsia="da-DK"/>
        </w:rPr>
        <w:fldChar w:fldCharType="end"/>
      </w:r>
      <w:bookmarkEnd w:id="100"/>
      <w:r w:rsidRPr="00B102F4">
        <w:rPr>
          <w:rFonts w:ascii="Times New Roman" w:eastAsia="Times New Roman" w:hAnsi="Times New Roman" w:cs="Times New Roman"/>
          <w:sz w:val="24"/>
          <w:szCs w:val="24"/>
          <w:lang w:val="en" w:eastAsia="da-DK"/>
        </w:rPr>
        <w:t xml:space="preserve"> Cf. Press release of 19 January 2006.</w:t>
      </w:r>
      <w:proofErr w:type="gramEnd"/>
      <w:r w:rsidRPr="00B102F4">
        <w:rPr>
          <w:rFonts w:ascii="Times New Roman" w:eastAsia="Times New Roman" w:hAnsi="Times New Roman" w:cs="Times New Roman"/>
          <w:sz w:val="24"/>
          <w:szCs w:val="24"/>
          <w:lang w:val="en" w:eastAsia="da-DK"/>
        </w:rPr>
        <w:t xml:space="preserve"> </w:t>
      </w:r>
      <w:r w:rsidRPr="00B102F4">
        <w:rPr>
          <w:rFonts w:ascii="Times New Roman" w:eastAsia="Times New Roman" w:hAnsi="Times New Roman" w:cs="Times New Roman"/>
          <w:sz w:val="24"/>
          <w:szCs w:val="24"/>
          <w:lang w:val="en" w:eastAsia="da-DK"/>
        </w:rPr>
        <w:br/>
      </w:r>
      <w:bookmarkStart w:id="101" w:name="_ftn8"/>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"_ftnref8"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[8]</w:t>
      </w:r>
      <w:r w:rsidRPr="00B102F4">
        <w:rPr>
          <w:rFonts w:ascii="Times New Roman" w:eastAsia="Times New Roman" w:hAnsi="Times New Roman" w:cs="Times New Roman"/>
          <w:sz w:val="24"/>
          <w:szCs w:val="24"/>
          <w:vertAlign w:val="superscript"/>
          <w:lang w:val="en" w:eastAsia="da-DK"/>
        </w:rPr>
        <w:fldChar w:fldCharType="end"/>
      </w:r>
      <w:bookmarkEnd w:id="101"/>
      <w:r w:rsidRPr="00B102F4">
        <w:rPr>
          <w:rFonts w:ascii="Times New Roman" w:eastAsia="Times New Roman" w:hAnsi="Times New Roman" w:cs="Times New Roman"/>
          <w:sz w:val="24"/>
          <w:szCs w:val="24"/>
          <w:lang w:val="en" w:eastAsia="da-DK"/>
        </w:rPr>
        <w:t xml:space="preserve"> The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members are: </w:t>
      </w:r>
      <w:proofErr w:type="spellStart"/>
      <w:r w:rsidRPr="00B102F4">
        <w:rPr>
          <w:rFonts w:ascii="Times New Roman" w:eastAsia="Times New Roman" w:hAnsi="Times New Roman" w:cs="Times New Roman"/>
          <w:sz w:val="24"/>
          <w:szCs w:val="24"/>
          <w:lang w:val="en" w:eastAsia="da-DK"/>
        </w:rPr>
        <w:t>Aller-Mølle</w:t>
      </w:r>
      <w:proofErr w:type="spellEnd"/>
      <w:r w:rsidRPr="00B102F4">
        <w:rPr>
          <w:rFonts w:ascii="Times New Roman" w:eastAsia="Times New Roman" w:hAnsi="Times New Roman" w:cs="Times New Roman"/>
          <w:sz w:val="24"/>
          <w:szCs w:val="24"/>
          <w:lang w:val="en" w:eastAsia="da-DK"/>
        </w:rPr>
        <w:t xml:space="preserve"> A/S, </w:t>
      </w:r>
      <w:proofErr w:type="spellStart"/>
      <w:r w:rsidRPr="00B102F4">
        <w:rPr>
          <w:rFonts w:ascii="Times New Roman" w:eastAsia="Times New Roman" w:hAnsi="Times New Roman" w:cs="Times New Roman"/>
          <w:sz w:val="24"/>
          <w:szCs w:val="24"/>
          <w:lang w:val="en" w:eastAsia="da-DK"/>
        </w:rPr>
        <w:t>Brdr</w:t>
      </w:r>
      <w:proofErr w:type="spellEnd"/>
      <w:r w:rsidRPr="00B102F4">
        <w:rPr>
          <w:rFonts w:ascii="Times New Roman" w:eastAsia="Times New Roman" w:hAnsi="Times New Roman" w:cs="Times New Roman"/>
          <w:sz w:val="24"/>
          <w:szCs w:val="24"/>
          <w:lang w:val="en" w:eastAsia="da-DK"/>
        </w:rPr>
        <w:t xml:space="preserve">. Ewers A/S, </w:t>
      </w:r>
      <w:proofErr w:type="spellStart"/>
      <w:r w:rsidRPr="00B102F4">
        <w:rPr>
          <w:rFonts w:ascii="Times New Roman" w:eastAsia="Times New Roman" w:hAnsi="Times New Roman" w:cs="Times New Roman"/>
          <w:sz w:val="24"/>
          <w:szCs w:val="24"/>
          <w:lang w:val="en" w:eastAsia="da-DK"/>
        </w:rPr>
        <w:t>Hedegaard</w:t>
      </w:r>
      <w:proofErr w:type="spellEnd"/>
      <w:r w:rsidRPr="00B102F4">
        <w:rPr>
          <w:rFonts w:ascii="Times New Roman" w:eastAsia="Times New Roman" w:hAnsi="Times New Roman" w:cs="Times New Roman"/>
          <w:sz w:val="24"/>
          <w:szCs w:val="24"/>
          <w:lang w:val="en" w:eastAsia="da-DK"/>
        </w:rPr>
        <w:t xml:space="preserve"> </w:t>
      </w:r>
      <w:r w:rsidRPr="00B102F4">
        <w:rPr>
          <w:rFonts w:ascii="Times New Roman" w:eastAsia="Times New Roman" w:hAnsi="Times New Roman" w:cs="Times New Roman"/>
          <w:i/>
          <w:iCs/>
          <w:sz w:val="24"/>
          <w:szCs w:val="24"/>
          <w:lang w:val="en" w:eastAsia="da-DK"/>
        </w:rPr>
        <w:t>agro</w:t>
      </w:r>
      <w:r w:rsidRPr="00B102F4">
        <w:rPr>
          <w:rFonts w:ascii="Times New Roman" w:eastAsia="Times New Roman" w:hAnsi="Times New Roman" w:cs="Times New Roman"/>
          <w:sz w:val="24"/>
          <w:szCs w:val="24"/>
          <w:lang w:val="en" w:eastAsia="da-DK"/>
        </w:rPr>
        <w:t xml:space="preserve"> A/S, </w:t>
      </w:r>
      <w:proofErr w:type="spellStart"/>
      <w:r w:rsidRPr="00B102F4">
        <w:rPr>
          <w:rFonts w:ascii="Times New Roman" w:eastAsia="Times New Roman" w:hAnsi="Times New Roman" w:cs="Times New Roman"/>
          <w:sz w:val="24"/>
          <w:szCs w:val="24"/>
          <w:lang w:val="en" w:eastAsia="da-DK"/>
        </w:rPr>
        <w:t>Hornsyld</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Købmandsgaaard</w:t>
      </w:r>
      <w:proofErr w:type="spellEnd"/>
      <w:r w:rsidRPr="00B102F4">
        <w:rPr>
          <w:rFonts w:ascii="Times New Roman" w:eastAsia="Times New Roman" w:hAnsi="Times New Roman" w:cs="Times New Roman"/>
          <w:sz w:val="24"/>
          <w:szCs w:val="24"/>
          <w:lang w:val="en" w:eastAsia="da-DK"/>
        </w:rPr>
        <w:t xml:space="preserve"> A/S, J.B. </w:t>
      </w:r>
      <w:proofErr w:type="spellStart"/>
      <w:r w:rsidRPr="00B102F4">
        <w:rPr>
          <w:rFonts w:ascii="Times New Roman" w:eastAsia="Times New Roman" w:hAnsi="Times New Roman" w:cs="Times New Roman"/>
          <w:sz w:val="24"/>
          <w:szCs w:val="24"/>
          <w:lang w:val="en" w:eastAsia="da-DK"/>
        </w:rPr>
        <w:t>Møller</w:t>
      </w:r>
      <w:proofErr w:type="spellEnd"/>
      <w:r w:rsidRPr="00B102F4">
        <w:rPr>
          <w:rFonts w:ascii="Times New Roman" w:eastAsia="Times New Roman" w:hAnsi="Times New Roman" w:cs="Times New Roman"/>
          <w:sz w:val="24"/>
          <w:szCs w:val="24"/>
          <w:lang w:val="en" w:eastAsia="da-DK"/>
        </w:rPr>
        <w:t xml:space="preserve"> Aps, </w:t>
      </w:r>
      <w:proofErr w:type="spellStart"/>
      <w:r w:rsidRPr="00B102F4">
        <w:rPr>
          <w:rFonts w:ascii="Times New Roman" w:eastAsia="Times New Roman" w:hAnsi="Times New Roman" w:cs="Times New Roman"/>
          <w:sz w:val="24"/>
          <w:szCs w:val="24"/>
          <w:lang w:val="en" w:eastAsia="da-DK"/>
        </w:rPr>
        <w:t>Landbrugets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Storkøb</w:t>
      </w:r>
      <w:proofErr w:type="spellEnd"/>
      <w:r w:rsidRPr="00B102F4">
        <w:rPr>
          <w:rFonts w:ascii="Times New Roman" w:eastAsia="Times New Roman" w:hAnsi="Times New Roman" w:cs="Times New Roman"/>
          <w:sz w:val="24"/>
          <w:szCs w:val="24"/>
          <w:lang w:val="en" w:eastAsia="da-DK"/>
        </w:rPr>
        <w:t xml:space="preserve"> A/S, </w:t>
      </w:r>
      <w:proofErr w:type="spellStart"/>
      <w:r w:rsidRPr="00B102F4">
        <w:rPr>
          <w:rFonts w:ascii="Times New Roman" w:eastAsia="Times New Roman" w:hAnsi="Times New Roman" w:cs="Times New Roman"/>
          <w:sz w:val="24"/>
          <w:szCs w:val="24"/>
          <w:lang w:val="en" w:eastAsia="da-DK"/>
        </w:rPr>
        <w:t>Mollerup</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Mølle</w:t>
      </w:r>
      <w:proofErr w:type="spellEnd"/>
      <w:r w:rsidRPr="00B102F4">
        <w:rPr>
          <w:rFonts w:ascii="Times New Roman" w:eastAsia="Times New Roman" w:hAnsi="Times New Roman" w:cs="Times New Roman"/>
          <w:sz w:val="24"/>
          <w:szCs w:val="24"/>
          <w:lang w:val="en" w:eastAsia="da-DK"/>
        </w:rPr>
        <w:t xml:space="preserve"> A/S, Carl Rasmussen &amp; </w:t>
      </w:r>
      <w:proofErr w:type="spellStart"/>
      <w:r w:rsidRPr="00B102F4">
        <w:rPr>
          <w:rFonts w:ascii="Times New Roman" w:eastAsia="Times New Roman" w:hAnsi="Times New Roman" w:cs="Times New Roman"/>
          <w:sz w:val="24"/>
          <w:szCs w:val="24"/>
          <w:lang w:val="en" w:eastAsia="da-DK"/>
        </w:rPr>
        <w:t>Hempler</w:t>
      </w:r>
      <w:proofErr w:type="spellEnd"/>
      <w:r w:rsidRPr="00B102F4">
        <w:rPr>
          <w:rFonts w:ascii="Times New Roman" w:eastAsia="Times New Roman" w:hAnsi="Times New Roman" w:cs="Times New Roman"/>
          <w:sz w:val="24"/>
          <w:szCs w:val="24"/>
          <w:lang w:val="en" w:eastAsia="da-DK"/>
        </w:rPr>
        <w:t xml:space="preserve"> A/S and </w:t>
      </w:r>
      <w:proofErr w:type="spellStart"/>
      <w:r w:rsidRPr="00B102F4">
        <w:rPr>
          <w:rFonts w:ascii="Times New Roman" w:eastAsia="Times New Roman" w:hAnsi="Times New Roman" w:cs="Times New Roman"/>
          <w:sz w:val="24"/>
          <w:szCs w:val="24"/>
          <w:lang w:val="en" w:eastAsia="da-DK"/>
        </w:rPr>
        <w:t>Sdr</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Dråby</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Købmandsgård</w:t>
      </w:r>
      <w:proofErr w:type="spellEnd"/>
      <w:r w:rsidRPr="00B102F4">
        <w:rPr>
          <w:rFonts w:ascii="Times New Roman" w:eastAsia="Times New Roman" w:hAnsi="Times New Roman" w:cs="Times New Roman"/>
          <w:sz w:val="24"/>
          <w:szCs w:val="24"/>
          <w:lang w:val="en" w:eastAsia="da-DK"/>
        </w:rPr>
        <w:t xml:space="preserve"> A/S. </w:t>
      </w:r>
      <w:r w:rsidRPr="00B102F4">
        <w:rPr>
          <w:rFonts w:ascii="Times New Roman" w:eastAsia="Times New Roman" w:hAnsi="Times New Roman" w:cs="Times New Roman"/>
          <w:sz w:val="24"/>
          <w:szCs w:val="24"/>
          <w:lang w:val="en" w:eastAsia="da-DK"/>
        </w:rPr>
        <w:br/>
      </w:r>
      <w:bookmarkStart w:id="102" w:name="_ftn9"/>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"_ftnref9"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[9]</w:t>
      </w:r>
      <w:r w:rsidRPr="00B102F4">
        <w:rPr>
          <w:rFonts w:ascii="Times New Roman" w:eastAsia="Times New Roman" w:hAnsi="Times New Roman" w:cs="Times New Roman"/>
          <w:sz w:val="24"/>
          <w:szCs w:val="24"/>
          <w:vertAlign w:val="superscript"/>
          <w:lang w:val="en" w:eastAsia="da-DK"/>
        </w:rPr>
        <w:fldChar w:fldCharType="end"/>
      </w:r>
      <w:bookmarkEnd w:id="102"/>
      <w:r w:rsidRPr="00B102F4">
        <w:rPr>
          <w:rFonts w:ascii="Times New Roman" w:eastAsia="Times New Roman" w:hAnsi="Times New Roman" w:cs="Times New Roman"/>
          <w:sz w:val="24"/>
          <w:szCs w:val="24"/>
          <w:lang w:val="en" w:eastAsia="da-DK"/>
        </w:rPr>
        <w:t xml:space="preserve"> Council Regulation (EC) No 139/2004 of 20 January 2004 on the control of concentrations between undertakings, OJ L 24/1, 29.1.2004.</w:t>
      </w:r>
      <w:r w:rsidRPr="00B102F4">
        <w:rPr>
          <w:rFonts w:ascii="Times New Roman" w:eastAsia="Times New Roman" w:hAnsi="Times New Roman" w:cs="Times New Roman"/>
          <w:sz w:val="24"/>
          <w:szCs w:val="24"/>
          <w:lang w:val="en" w:eastAsia="da-DK"/>
        </w:rPr>
        <w:br/>
      </w:r>
      <w:bookmarkStart w:id="103" w:name="_ftn10"/>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"_ftnref10"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[10]</w:t>
      </w:r>
      <w:r w:rsidRPr="00B102F4">
        <w:rPr>
          <w:rFonts w:ascii="Times New Roman" w:eastAsia="Times New Roman" w:hAnsi="Times New Roman" w:cs="Times New Roman"/>
          <w:sz w:val="24"/>
          <w:szCs w:val="24"/>
          <w:vertAlign w:val="superscript"/>
          <w:lang w:val="en" w:eastAsia="da-DK"/>
        </w:rPr>
        <w:fldChar w:fldCharType="end"/>
      </w:r>
      <w:bookmarkEnd w:id="103"/>
      <w:r w:rsidRPr="00B102F4">
        <w:rPr>
          <w:rFonts w:ascii="Times New Roman" w:eastAsia="Times New Roman" w:hAnsi="Times New Roman" w:cs="Times New Roman"/>
          <w:sz w:val="24"/>
          <w:szCs w:val="24"/>
          <w:lang w:val="en" w:eastAsia="da-DK"/>
        </w:rPr>
        <w:t xml:space="preserve"> DKK 3.8 billion corresponds to approximately EUR 500 million, and DKK 300 million to EUR 40 million. </w:t>
      </w:r>
      <w:r w:rsidRPr="00B102F4">
        <w:rPr>
          <w:rFonts w:ascii="Times New Roman" w:eastAsia="Times New Roman" w:hAnsi="Times New Roman" w:cs="Times New Roman"/>
          <w:sz w:val="24"/>
          <w:szCs w:val="24"/>
          <w:lang w:val="en" w:eastAsia="da-DK"/>
        </w:rPr>
        <w:br/>
      </w:r>
      <w:bookmarkStart w:id="104" w:name="_ftn11"/>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"_ftnref11"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[11]</w:t>
      </w:r>
      <w:r w:rsidRPr="00B102F4">
        <w:rPr>
          <w:rFonts w:ascii="Times New Roman" w:eastAsia="Times New Roman" w:hAnsi="Times New Roman" w:cs="Times New Roman"/>
          <w:sz w:val="24"/>
          <w:szCs w:val="24"/>
          <w:vertAlign w:val="superscript"/>
          <w:lang w:val="en" w:eastAsia="da-DK"/>
        </w:rPr>
        <w:fldChar w:fldCharType="end"/>
      </w:r>
      <w:bookmarkEnd w:id="104"/>
      <w:r w:rsidRPr="00B102F4">
        <w:rPr>
          <w:rFonts w:ascii="Times New Roman" w:eastAsia="Times New Roman" w:hAnsi="Times New Roman" w:cs="Times New Roman"/>
          <w:sz w:val="24"/>
          <w:szCs w:val="24"/>
          <w:lang w:val="en" w:eastAsia="da-DK"/>
        </w:rPr>
        <w:t xml:space="preserve"> Pursuant to Section 15c of the Danish Competition Act, it has been agreed that the authority deals with the case in English.</w:t>
      </w:r>
      <w:r w:rsidRPr="00B102F4">
        <w:rPr>
          <w:rFonts w:ascii="Times New Roman" w:eastAsia="Times New Roman" w:hAnsi="Times New Roman" w:cs="Times New Roman"/>
          <w:sz w:val="24"/>
          <w:szCs w:val="24"/>
          <w:lang w:val="en" w:eastAsia="da-DK"/>
        </w:rPr>
        <w:br/>
      </w:r>
      <w:bookmarkStart w:id="105" w:name="_ftn12"/>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"_ftnref12"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[12]</w:t>
      </w:r>
      <w:r w:rsidRPr="00B102F4">
        <w:rPr>
          <w:rFonts w:ascii="Times New Roman" w:eastAsia="Times New Roman" w:hAnsi="Times New Roman" w:cs="Times New Roman"/>
          <w:sz w:val="24"/>
          <w:szCs w:val="24"/>
          <w:vertAlign w:val="superscript"/>
          <w:lang w:val="en" w:eastAsia="da-DK"/>
        </w:rPr>
        <w:fldChar w:fldCharType="end"/>
      </w:r>
      <w:bookmarkEnd w:id="105"/>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has reserved the right to some products, e.g. horticultural products and liquid fertilizers. </w:t>
      </w:r>
      <w:r w:rsidRPr="00B102F4">
        <w:rPr>
          <w:rFonts w:ascii="Times New Roman" w:eastAsia="Times New Roman" w:hAnsi="Times New Roman" w:cs="Times New Roman"/>
          <w:sz w:val="24"/>
          <w:szCs w:val="24"/>
          <w:lang w:val="en" w:eastAsia="da-DK"/>
        </w:rPr>
        <w:br/>
      </w:r>
      <w:bookmarkStart w:id="106" w:name="_ftn13"/>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"_ftnref13"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[13]</w:t>
      </w:r>
      <w:r w:rsidRPr="00B102F4">
        <w:rPr>
          <w:rFonts w:ascii="Times New Roman" w:eastAsia="Times New Roman" w:hAnsi="Times New Roman" w:cs="Times New Roman"/>
          <w:sz w:val="24"/>
          <w:szCs w:val="24"/>
          <w:vertAlign w:val="superscript"/>
          <w:lang w:val="en" w:eastAsia="da-DK"/>
        </w:rPr>
        <w:fldChar w:fldCharType="end"/>
      </w:r>
      <w:bookmarkEnd w:id="106"/>
      <w:r w:rsidRPr="00B102F4">
        <w:rPr>
          <w:rFonts w:ascii="Times New Roman" w:eastAsia="Times New Roman" w:hAnsi="Times New Roman" w:cs="Times New Roman"/>
          <w:sz w:val="24"/>
          <w:szCs w:val="24"/>
          <w:lang w:val="en" w:eastAsia="da-DK"/>
        </w:rPr>
        <w:t xml:space="preserve"> See for a definition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163.</w:t>
      </w:r>
      <w:r w:rsidRPr="00B102F4">
        <w:rPr>
          <w:rFonts w:ascii="Times New Roman" w:eastAsia="Times New Roman" w:hAnsi="Times New Roman" w:cs="Times New Roman"/>
          <w:sz w:val="24"/>
          <w:szCs w:val="24"/>
          <w:lang w:val="en" w:eastAsia="da-DK"/>
        </w:rPr>
        <w:br/>
      </w:r>
      <w:bookmarkStart w:id="107" w:name="_ftn14"/>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"_ftnref14"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[14]</w:t>
      </w:r>
      <w:r w:rsidRPr="00B102F4">
        <w:rPr>
          <w:rFonts w:ascii="Times New Roman" w:eastAsia="Times New Roman" w:hAnsi="Times New Roman" w:cs="Times New Roman"/>
          <w:sz w:val="24"/>
          <w:szCs w:val="24"/>
          <w:vertAlign w:val="superscript"/>
          <w:lang w:val="en" w:eastAsia="da-DK"/>
        </w:rPr>
        <w:fldChar w:fldCharType="end"/>
      </w:r>
      <w:bookmarkEnd w:id="107"/>
      <w:r w:rsidRPr="00B102F4">
        <w:rPr>
          <w:rFonts w:ascii="Times New Roman" w:eastAsia="Times New Roman" w:hAnsi="Times New Roman" w:cs="Times New Roman"/>
          <w:sz w:val="24"/>
          <w:szCs w:val="24"/>
          <w:lang w:val="en" w:eastAsia="da-DK"/>
        </w:rPr>
        <w:t xml:space="preserve"> Unless the products are protected by intellectual property rights. </w:t>
      </w:r>
      <w:r w:rsidRPr="00B102F4">
        <w:rPr>
          <w:rFonts w:ascii="Times New Roman" w:eastAsia="Times New Roman" w:hAnsi="Times New Roman" w:cs="Times New Roman"/>
          <w:sz w:val="24"/>
          <w:szCs w:val="24"/>
          <w:lang w:val="en" w:eastAsia="da-DK"/>
        </w:rPr>
        <w:br/>
      </w:r>
      <w:bookmarkStart w:id="108" w:name="_ftn15"/>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"_ftnref15"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[15]</w:t>
      </w:r>
      <w:r w:rsidRPr="00B102F4">
        <w:rPr>
          <w:rFonts w:ascii="Times New Roman" w:eastAsia="Times New Roman" w:hAnsi="Times New Roman" w:cs="Times New Roman"/>
          <w:sz w:val="24"/>
          <w:szCs w:val="24"/>
          <w:vertAlign w:val="superscript"/>
          <w:lang w:val="en" w:eastAsia="da-DK"/>
        </w:rPr>
        <w:fldChar w:fldCharType="end"/>
      </w:r>
      <w:bookmarkEnd w:id="108"/>
      <w:r w:rsidRPr="00B102F4">
        <w:rPr>
          <w:rFonts w:ascii="Times New Roman" w:eastAsia="Times New Roman" w:hAnsi="Times New Roman" w:cs="Times New Roman"/>
          <w:sz w:val="24"/>
          <w:szCs w:val="24"/>
          <w:lang w:val="en" w:eastAsia="da-DK"/>
        </w:rPr>
        <w:t xml:space="preserve"> Commission Decision of 21 December 1973 relating to a proceeding under Article 85 of the EEC Treaty (IV/795 – Kali und </w:t>
      </w:r>
      <w:proofErr w:type="spellStart"/>
      <w:r w:rsidRPr="00B102F4">
        <w:rPr>
          <w:rFonts w:ascii="Times New Roman" w:eastAsia="Times New Roman" w:hAnsi="Times New Roman" w:cs="Times New Roman"/>
          <w:sz w:val="24"/>
          <w:szCs w:val="24"/>
          <w:lang w:val="en" w:eastAsia="da-DK"/>
        </w:rPr>
        <w:t>Salz</w:t>
      </w:r>
      <w:proofErr w:type="spellEnd"/>
      <w:r w:rsidRPr="00B102F4">
        <w:rPr>
          <w:rFonts w:ascii="Times New Roman" w:eastAsia="Times New Roman" w:hAnsi="Times New Roman" w:cs="Times New Roman"/>
          <w:sz w:val="24"/>
          <w:szCs w:val="24"/>
          <w:lang w:val="en" w:eastAsia="da-DK"/>
        </w:rPr>
        <w:t xml:space="preserve">/Kali </w:t>
      </w:r>
      <w:proofErr w:type="spellStart"/>
      <w:r w:rsidRPr="00B102F4">
        <w:rPr>
          <w:rFonts w:ascii="Times New Roman" w:eastAsia="Times New Roman" w:hAnsi="Times New Roman" w:cs="Times New Roman"/>
          <w:sz w:val="24"/>
          <w:szCs w:val="24"/>
          <w:lang w:val="en" w:eastAsia="da-DK"/>
        </w:rPr>
        <w:t>Chemie</w:t>
      </w:r>
      <w:proofErr w:type="spellEnd"/>
      <w:r w:rsidRPr="00B102F4">
        <w:rPr>
          <w:rFonts w:ascii="Times New Roman" w:eastAsia="Times New Roman" w:hAnsi="Times New Roman" w:cs="Times New Roman"/>
          <w:sz w:val="24"/>
          <w:szCs w:val="24"/>
          <w:lang w:val="en" w:eastAsia="da-DK"/>
        </w:rPr>
        <w:t>).</w:t>
      </w:r>
      <w:r w:rsidRPr="00B102F4">
        <w:rPr>
          <w:rFonts w:ascii="Times New Roman" w:eastAsia="Times New Roman" w:hAnsi="Times New Roman" w:cs="Times New Roman"/>
          <w:sz w:val="24"/>
          <w:szCs w:val="24"/>
          <w:lang w:val="en" w:eastAsia="da-DK"/>
        </w:rPr>
        <w:br/>
      </w:r>
      <w:bookmarkStart w:id="109" w:name="_ftn16"/>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"_ftnref16"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[16]</w:t>
      </w:r>
      <w:r w:rsidRPr="00B102F4">
        <w:rPr>
          <w:rFonts w:ascii="Times New Roman" w:eastAsia="Times New Roman" w:hAnsi="Times New Roman" w:cs="Times New Roman"/>
          <w:sz w:val="24"/>
          <w:szCs w:val="24"/>
          <w:vertAlign w:val="superscript"/>
          <w:lang w:val="en" w:eastAsia="da-DK"/>
        </w:rPr>
        <w:fldChar w:fldCharType="end"/>
      </w:r>
      <w:bookmarkEnd w:id="109"/>
      <w:r w:rsidRPr="00B102F4">
        <w:rPr>
          <w:rFonts w:ascii="Times New Roman" w:eastAsia="Times New Roman" w:hAnsi="Times New Roman" w:cs="Times New Roman"/>
          <w:sz w:val="24"/>
          <w:szCs w:val="24"/>
          <w:lang w:val="en" w:eastAsia="da-DK"/>
        </w:rPr>
        <w:t xml:space="preserve"> In COMP/M.2524 - HYDRO / SQM / ROTEM / JV, where the definition of the product market was left open, the parties submitted that N, P and K fertilizers should be seen as three separate markets segments, as each of them satisfy a specific need for plant growth and are not substitutable with one another.</w:t>
      </w:r>
      <w:r w:rsidRPr="00B102F4">
        <w:rPr>
          <w:rFonts w:ascii="Times New Roman" w:eastAsia="Times New Roman" w:hAnsi="Times New Roman" w:cs="Times New Roman"/>
          <w:sz w:val="24"/>
          <w:szCs w:val="24"/>
          <w:lang w:val="en" w:eastAsia="da-DK"/>
        </w:rPr>
        <w:br/>
      </w:r>
      <w:bookmarkStart w:id="110" w:name="_ftn17"/>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"_ftnref17"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[17]</w:t>
      </w:r>
      <w:r w:rsidRPr="00B102F4">
        <w:rPr>
          <w:rFonts w:ascii="Times New Roman" w:eastAsia="Times New Roman" w:hAnsi="Times New Roman" w:cs="Times New Roman"/>
          <w:sz w:val="24"/>
          <w:szCs w:val="24"/>
          <w:vertAlign w:val="superscript"/>
          <w:lang w:val="en" w:eastAsia="da-DK"/>
        </w:rPr>
        <w:fldChar w:fldCharType="end"/>
      </w:r>
      <w:bookmarkEnd w:id="110"/>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Grovvarefusionen</w:t>
      </w:r>
      <w:proofErr w:type="spellEnd"/>
      <w:r w:rsidRPr="00B102F4">
        <w:rPr>
          <w:rFonts w:ascii="Times New Roman" w:eastAsia="Times New Roman" w:hAnsi="Times New Roman" w:cs="Times New Roman"/>
          <w:sz w:val="24"/>
          <w:szCs w:val="24"/>
          <w:lang w:val="en" w:eastAsia="da-DK"/>
        </w:rPr>
        <w:t>”, 27 November 2002.</w:t>
      </w:r>
      <w:r w:rsidRPr="00B102F4">
        <w:rPr>
          <w:rFonts w:ascii="Times New Roman" w:eastAsia="Times New Roman" w:hAnsi="Times New Roman" w:cs="Times New Roman"/>
          <w:sz w:val="24"/>
          <w:szCs w:val="24"/>
          <w:lang w:val="en" w:eastAsia="da-DK"/>
        </w:rPr>
        <w:br/>
      </w:r>
      <w:bookmarkStart w:id="111" w:name="_ftn18"/>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"_ftnref18"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[18]</w:t>
      </w:r>
      <w:r w:rsidRPr="00B102F4">
        <w:rPr>
          <w:rFonts w:ascii="Times New Roman" w:eastAsia="Times New Roman" w:hAnsi="Times New Roman" w:cs="Times New Roman"/>
          <w:sz w:val="24"/>
          <w:szCs w:val="24"/>
          <w:vertAlign w:val="superscript"/>
          <w:lang w:val="en" w:eastAsia="da-DK"/>
        </w:rPr>
        <w:fldChar w:fldCharType="end"/>
      </w:r>
      <w:bookmarkEnd w:id="111"/>
      <w:r w:rsidRPr="00B102F4">
        <w:rPr>
          <w:rFonts w:ascii="Times New Roman" w:eastAsia="Times New Roman" w:hAnsi="Times New Roman" w:cs="Times New Roman"/>
          <w:sz w:val="24"/>
          <w:szCs w:val="24"/>
          <w:lang w:val="en" w:eastAsia="da-DK"/>
        </w:rPr>
        <w:t xml:space="preserve"> Refer to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73 below. </w:t>
      </w:r>
      <w:r w:rsidRPr="00B102F4">
        <w:rPr>
          <w:rFonts w:ascii="Times New Roman" w:eastAsia="Times New Roman" w:hAnsi="Times New Roman" w:cs="Times New Roman"/>
          <w:sz w:val="24"/>
          <w:szCs w:val="24"/>
          <w:lang w:val="en" w:eastAsia="da-DK"/>
        </w:rPr>
        <w:br/>
      </w:r>
      <w:bookmarkStart w:id="112" w:name="_ftn19"/>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"_ftnref19"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[19]</w:t>
      </w:r>
      <w:r w:rsidRPr="00B102F4">
        <w:rPr>
          <w:rFonts w:ascii="Times New Roman" w:eastAsia="Times New Roman" w:hAnsi="Times New Roman" w:cs="Times New Roman"/>
          <w:sz w:val="24"/>
          <w:szCs w:val="24"/>
          <w:vertAlign w:val="superscript"/>
          <w:lang w:val="en" w:eastAsia="da-DK"/>
        </w:rPr>
        <w:fldChar w:fldCharType="end"/>
      </w:r>
      <w:bookmarkEnd w:id="112"/>
      <w:r w:rsidRPr="00B102F4">
        <w:rPr>
          <w:rFonts w:ascii="Times New Roman" w:eastAsia="Times New Roman" w:hAnsi="Times New Roman" w:cs="Times New Roman"/>
          <w:sz w:val="24"/>
          <w:szCs w:val="24"/>
          <w:lang w:val="en" w:eastAsia="da-DK"/>
        </w:rPr>
        <w:t xml:space="preserve"> Natural gas is used in the production of most nitrogen based fertilizers. Therefore, the price on gas has a great impact on the price of many fertilizers. </w:t>
      </w:r>
      <w:r w:rsidRPr="00B102F4">
        <w:rPr>
          <w:rFonts w:ascii="Times New Roman" w:eastAsia="Times New Roman" w:hAnsi="Times New Roman" w:cs="Times New Roman"/>
          <w:sz w:val="24"/>
          <w:szCs w:val="24"/>
          <w:lang w:val="en" w:eastAsia="da-DK"/>
        </w:rPr>
        <w:br/>
      </w:r>
      <w:bookmarkStart w:id="113" w:name="_ftn20"/>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"_ftnref20"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[20]</w:t>
      </w:r>
      <w:r w:rsidRPr="00B102F4">
        <w:rPr>
          <w:rFonts w:ascii="Times New Roman" w:eastAsia="Times New Roman" w:hAnsi="Times New Roman" w:cs="Times New Roman"/>
          <w:sz w:val="24"/>
          <w:szCs w:val="24"/>
          <w:vertAlign w:val="superscript"/>
          <w:lang w:val="en" w:eastAsia="da-DK"/>
        </w:rPr>
        <w:fldChar w:fldCharType="end"/>
      </w:r>
      <w:bookmarkEnd w:id="113"/>
      <w:r w:rsidRPr="00B102F4">
        <w:rPr>
          <w:rFonts w:ascii="Times New Roman" w:eastAsia="Times New Roman" w:hAnsi="Times New Roman" w:cs="Times New Roman"/>
          <w:sz w:val="24"/>
          <w:szCs w:val="24"/>
          <w:lang w:val="en" w:eastAsia="da-DK"/>
        </w:rPr>
        <w:t xml:space="preserve"> Regulation (EC) No 2003/2003 of the European Parliament and of the Council of 13 October 2003 relating to fertilizers.</w:t>
      </w:r>
      <w:r w:rsidRPr="00B102F4">
        <w:rPr>
          <w:rFonts w:ascii="Times New Roman" w:eastAsia="Times New Roman" w:hAnsi="Times New Roman" w:cs="Times New Roman"/>
          <w:sz w:val="24"/>
          <w:szCs w:val="24"/>
          <w:lang w:val="en" w:eastAsia="da-DK"/>
        </w:rPr>
        <w:br/>
      </w:r>
      <w:bookmarkStart w:id="114" w:name="_ftn21"/>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"_ftnref21"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[21]</w:t>
      </w:r>
      <w:r w:rsidRPr="00B102F4">
        <w:rPr>
          <w:rFonts w:ascii="Times New Roman" w:eastAsia="Times New Roman" w:hAnsi="Times New Roman" w:cs="Times New Roman"/>
          <w:sz w:val="24"/>
          <w:szCs w:val="24"/>
          <w:vertAlign w:val="superscript"/>
          <w:lang w:val="en" w:eastAsia="da-DK"/>
        </w:rPr>
        <w:fldChar w:fldCharType="end"/>
      </w:r>
      <w:bookmarkEnd w:id="114"/>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Bekendtgørelse</w:t>
      </w:r>
      <w:proofErr w:type="spellEnd"/>
      <w:r w:rsidRPr="00B102F4">
        <w:rPr>
          <w:rFonts w:ascii="Times New Roman" w:eastAsia="Times New Roman" w:hAnsi="Times New Roman" w:cs="Times New Roman"/>
          <w:sz w:val="24"/>
          <w:szCs w:val="24"/>
          <w:lang w:val="en" w:eastAsia="da-DK"/>
        </w:rPr>
        <w:t xml:space="preserve"> </w:t>
      </w:r>
      <w:proofErr w:type="spellStart"/>
      <w:proofErr w:type="gramStart"/>
      <w:r w:rsidRPr="00B102F4">
        <w:rPr>
          <w:rFonts w:ascii="Times New Roman" w:eastAsia="Times New Roman" w:hAnsi="Times New Roman" w:cs="Times New Roman"/>
          <w:sz w:val="24"/>
          <w:szCs w:val="24"/>
          <w:lang w:val="en" w:eastAsia="da-DK"/>
        </w:rPr>
        <w:t>om</w:t>
      </w:r>
      <w:proofErr w:type="spellEnd"/>
      <w:proofErr w:type="gram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klassificering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emballering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mærkning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salg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og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opbevaring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af</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kemiske</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stoffer</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og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produkter</w:t>
      </w:r>
      <w:proofErr w:type="spellEnd"/>
      <w:r w:rsidRPr="00B102F4">
        <w:rPr>
          <w:rFonts w:ascii="Times New Roman" w:eastAsia="Times New Roman" w:hAnsi="Times New Roman" w:cs="Times New Roman"/>
          <w:sz w:val="24"/>
          <w:szCs w:val="24"/>
          <w:lang w:val="en" w:eastAsia="da-DK"/>
        </w:rPr>
        <w:t xml:space="preserve"> (nr. 801 </w:t>
      </w:r>
      <w:proofErr w:type="spellStart"/>
      <w:r w:rsidRPr="00B102F4">
        <w:rPr>
          <w:rFonts w:ascii="Times New Roman" w:eastAsia="Times New Roman" w:hAnsi="Times New Roman" w:cs="Times New Roman"/>
          <w:sz w:val="24"/>
          <w:szCs w:val="24"/>
          <w:lang w:val="en" w:eastAsia="da-DK"/>
        </w:rPr>
        <w:t>af</w:t>
      </w:r>
      <w:proofErr w:type="spellEnd"/>
      <w:r w:rsidRPr="00B102F4">
        <w:rPr>
          <w:rFonts w:ascii="Times New Roman" w:eastAsia="Times New Roman" w:hAnsi="Times New Roman" w:cs="Times New Roman"/>
          <w:sz w:val="24"/>
          <w:szCs w:val="24"/>
          <w:lang w:val="en" w:eastAsia="da-DK"/>
        </w:rPr>
        <w:t xml:space="preserve"> 23. </w:t>
      </w:r>
      <w:proofErr w:type="spellStart"/>
      <w:r w:rsidRPr="00B102F4">
        <w:rPr>
          <w:rFonts w:ascii="Times New Roman" w:eastAsia="Times New Roman" w:hAnsi="Times New Roman" w:cs="Times New Roman"/>
          <w:sz w:val="24"/>
          <w:szCs w:val="24"/>
          <w:lang w:val="en" w:eastAsia="da-DK"/>
        </w:rPr>
        <w:t>oktober</w:t>
      </w:r>
      <w:proofErr w:type="spellEnd"/>
      <w:r w:rsidRPr="00B102F4">
        <w:rPr>
          <w:rFonts w:ascii="Times New Roman" w:eastAsia="Times New Roman" w:hAnsi="Times New Roman" w:cs="Times New Roman"/>
          <w:sz w:val="24"/>
          <w:szCs w:val="24"/>
          <w:lang w:val="en" w:eastAsia="da-DK"/>
        </w:rPr>
        <w:t xml:space="preserve"> 1997) and </w:t>
      </w:r>
      <w:proofErr w:type="spellStart"/>
      <w:r w:rsidRPr="00B102F4">
        <w:rPr>
          <w:rFonts w:ascii="Times New Roman" w:eastAsia="Times New Roman" w:hAnsi="Times New Roman" w:cs="Times New Roman"/>
          <w:sz w:val="24"/>
          <w:szCs w:val="24"/>
          <w:lang w:val="en" w:eastAsia="da-DK"/>
        </w:rPr>
        <w:t>bekendtgørelse</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om</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nitratholdige</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gødningsstoffer</w:t>
      </w:r>
      <w:proofErr w:type="spellEnd"/>
      <w:r w:rsidRPr="00B102F4">
        <w:rPr>
          <w:rFonts w:ascii="Times New Roman" w:eastAsia="Times New Roman" w:hAnsi="Times New Roman" w:cs="Times New Roman"/>
          <w:sz w:val="24"/>
          <w:szCs w:val="24"/>
          <w:lang w:val="en" w:eastAsia="da-DK"/>
        </w:rPr>
        <w:t xml:space="preserve"> (of 01/08/85).</w:t>
      </w:r>
      <w:r w:rsidRPr="00B102F4">
        <w:rPr>
          <w:rFonts w:ascii="Times New Roman" w:eastAsia="Times New Roman" w:hAnsi="Times New Roman" w:cs="Times New Roman"/>
          <w:sz w:val="24"/>
          <w:szCs w:val="24"/>
          <w:lang w:val="en" w:eastAsia="da-DK"/>
        </w:rPr>
        <w:br/>
      </w:r>
      <w:bookmarkStart w:id="115" w:name="_ftn22"/>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"_ftnref22"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[22]</w:t>
      </w:r>
      <w:r w:rsidRPr="00B102F4">
        <w:rPr>
          <w:rFonts w:ascii="Times New Roman" w:eastAsia="Times New Roman" w:hAnsi="Times New Roman" w:cs="Times New Roman"/>
          <w:sz w:val="24"/>
          <w:szCs w:val="24"/>
          <w:vertAlign w:val="superscript"/>
          <w:lang w:val="en" w:eastAsia="da-DK"/>
        </w:rPr>
        <w:fldChar w:fldCharType="end"/>
      </w:r>
      <w:bookmarkEnd w:id="115"/>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Lov</w:t>
      </w:r>
      <w:proofErr w:type="spellEnd"/>
      <w:r w:rsidRPr="00B102F4">
        <w:rPr>
          <w:rFonts w:ascii="Times New Roman" w:eastAsia="Times New Roman" w:hAnsi="Times New Roman" w:cs="Times New Roman"/>
          <w:sz w:val="24"/>
          <w:szCs w:val="24"/>
          <w:lang w:val="en" w:eastAsia="da-DK"/>
        </w:rPr>
        <w:t xml:space="preserve"> nr. 131 </w:t>
      </w:r>
      <w:proofErr w:type="spellStart"/>
      <w:proofErr w:type="gramStart"/>
      <w:r w:rsidRPr="00B102F4">
        <w:rPr>
          <w:rFonts w:ascii="Times New Roman" w:eastAsia="Times New Roman" w:hAnsi="Times New Roman" w:cs="Times New Roman"/>
          <w:sz w:val="24"/>
          <w:szCs w:val="24"/>
          <w:lang w:val="en" w:eastAsia="da-DK"/>
        </w:rPr>
        <w:t>af</w:t>
      </w:r>
      <w:proofErr w:type="spellEnd"/>
      <w:proofErr w:type="gramEnd"/>
      <w:r w:rsidRPr="00B102F4">
        <w:rPr>
          <w:rFonts w:ascii="Times New Roman" w:eastAsia="Times New Roman" w:hAnsi="Times New Roman" w:cs="Times New Roman"/>
          <w:sz w:val="24"/>
          <w:szCs w:val="24"/>
          <w:lang w:val="en" w:eastAsia="da-DK"/>
        </w:rPr>
        <w:t xml:space="preserve"> 26. </w:t>
      </w:r>
      <w:proofErr w:type="spellStart"/>
      <w:proofErr w:type="gramStart"/>
      <w:r w:rsidRPr="00B102F4">
        <w:rPr>
          <w:rFonts w:ascii="Times New Roman" w:eastAsia="Times New Roman" w:hAnsi="Times New Roman" w:cs="Times New Roman"/>
          <w:sz w:val="24"/>
          <w:szCs w:val="24"/>
          <w:lang w:val="en" w:eastAsia="da-DK"/>
        </w:rPr>
        <w:t>februar</w:t>
      </w:r>
      <w:proofErr w:type="spellEnd"/>
      <w:proofErr w:type="gramEnd"/>
      <w:r w:rsidRPr="00B102F4">
        <w:rPr>
          <w:rFonts w:ascii="Times New Roman" w:eastAsia="Times New Roman" w:hAnsi="Times New Roman" w:cs="Times New Roman"/>
          <w:sz w:val="24"/>
          <w:szCs w:val="24"/>
          <w:lang w:val="en" w:eastAsia="da-DK"/>
        </w:rPr>
        <w:t xml:space="preserve"> 1992 </w:t>
      </w:r>
      <w:proofErr w:type="spellStart"/>
      <w:r w:rsidRPr="00B102F4">
        <w:rPr>
          <w:rFonts w:ascii="Times New Roman" w:eastAsia="Times New Roman" w:hAnsi="Times New Roman" w:cs="Times New Roman"/>
          <w:sz w:val="24"/>
          <w:szCs w:val="24"/>
          <w:lang w:val="en" w:eastAsia="da-DK"/>
        </w:rPr>
        <w:t>om</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gødning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og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jordforbedringsmidler</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Lov</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om</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jordbrugets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anvendelse</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af</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gødning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og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om</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plantedække</w:t>
      </w:r>
      <w:proofErr w:type="spellEnd"/>
      <w:r w:rsidRPr="00B102F4">
        <w:rPr>
          <w:rFonts w:ascii="Times New Roman" w:eastAsia="Times New Roman" w:hAnsi="Times New Roman" w:cs="Times New Roman"/>
          <w:sz w:val="24"/>
          <w:szCs w:val="24"/>
          <w:lang w:val="en" w:eastAsia="da-DK"/>
        </w:rPr>
        <w:t xml:space="preserve"> nr. 551 </w:t>
      </w:r>
      <w:proofErr w:type="spellStart"/>
      <w:r w:rsidRPr="00B102F4">
        <w:rPr>
          <w:rFonts w:ascii="Times New Roman" w:eastAsia="Times New Roman" w:hAnsi="Times New Roman" w:cs="Times New Roman"/>
          <w:sz w:val="24"/>
          <w:szCs w:val="24"/>
          <w:lang w:val="en" w:eastAsia="da-DK"/>
        </w:rPr>
        <w:t>af</w:t>
      </w:r>
      <w:proofErr w:type="spellEnd"/>
      <w:r w:rsidRPr="00B102F4">
        <w:rPr>
          <w:rFonts w:ascii="Times New Roman" w:eastAsia="Times New Roman" w:hAnsi="Times New Roman" w:cs="Times New Roman"/>
          <w:sz w:val="24"/>
          <w:szCs w:val="24"/>
          <w:lang w:val="en" w:eastAsia="da-DK"/>
        </w:rPr>
        <w:t xml:space="preserve"> 02/07/2002, </w:t>
      </w:r>
      <w:proofErr w:type="spellStart"/>
      <w:r w:rsidRPr="00B102F4">
        <w:rPr>
          <w:rFonts w:ascii="Times New Roman" w:eastAsia="Times New Roman" w:hAnsi="Times New Roman" w:cs="Times New Roman"/>
          <w:sz w:val="24"/>
          <w:szCs w:val="24"/>
          <w:lang w:val="en" w:eastAsia="da-DK"/>
        </w:rPr>
        <w:t>Vandmiljøplanen</w:t>
      </w:r>
      <w:proofErr w:type="spellEnd"/>
      <w:r w:rsidRPr="00B102F4">
        <w:rPr>
          <w:rFonts w:ascii="Times New Roman" w:eastAsia="Times New Roman" w:hAnsi="Times New Roman" w:cs="Times New Roman"/>
          <w:sz w:val="24"/>
          <w:szCs w:val="24"/>
          <w:lang w:val="en" w:eastAsia="da-DK"/>
        </w:rPr>
        <w:t xml:space="preserve"> I, II (1987, </w:t>
      </w:r>
      <w:r w:rsidRPr="00B102F4">
        <w:rPr>
          <w:rFonts w:ascii="Times New Roman" w:eastAsia="Times New Roman" w:hAnsi="Times New Roman" w:cs="Times New Roman"/>
          <w:sz w:val="24"/>
          <w:szCs w:val="24"/>
          <w:lang w:val="en" w:eastAsia="da-DK"/>
        </w:rPr>
        <w:lastRenderedPageBreak/>
        <w:t xml:space="preserve">1998), etc. </w:t>
      </w:r>
      <w:r w:rsidRPr="00B102F4">
        <w:rPr>
          <w:rFonts w:ascii="Times New Roman" w:eastAsia="Times New Roman" w:hAnsi="Times New Roman" w:cs="Times New Roman"/>
          <w:sz w:val="24"/>
          <w:szCs w:val="24"/>
          <w:lang w:val="en" w:eastAsia="da-DK"/>
        </w:rPr>
        <w:br/>
      </w:r>
      <w:bookmarkStart w:id="116" w:name="_ftn23"/>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"_ftnref23"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[23]</w:t>
      </w:r>
      <w:r w:rsidRPr="00B102F4">
        <w:rPr>
          <w:rFonts w:ascii="Times New Roman" w:eastAsia="Times New Roman" w:hAnsi="Times New Roman" w:cs="Times New Roman"/>
          <w:sz w:val="24"/>
          <w:szCs w:val="24"/>
          <w:vertAlign w:val="superscript"/>
          <w:lang w:val="en" w:eastAsia="da-DK"/>
        </w:rPr>
        <w:fldChar w:fldCharType="end"/>
      </w:r>
      <w:bookmarkEnd w:id="116"/>
      <w:r w:rsidRPr="00B102F4">
        <w:rPr>
          <w:rFonts w:ascii="Times New Roman" w:eastAsia="Times New Roman" w:hAnsi="Times New Roman" w:cs="Times New Roman"/>
          <w:sz w:val="24"/>
          <w:szCs w:val="24"/>
          <w:lang w:val="en" w:eastAsia="da-DK"/>
        </w:rPr>
        <w:t xml:space="preserve"> E.g. in </w:t>
      </w:r>
      <w:proofErr w:type="spellStart"/>
      <w:r w:rsidRPr="00B102F4">
        <w:rPr>
          <w:rFonts w:ascii="Times New Roman" w:eastAsia="Times New Roman" w:hAnsi="Times New Roman" w:cs="Times New Roman"/>
          <w:sz w:val="24"/>
          <w:szCs w:val="24"/>
          <w:lang w:val="en" w:eastAsia="da-DK"/>
        </w:rPr>
        <w:t>Sønderborg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Løgum</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Kloster</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Aller</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Hornsyld</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Gistrup</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Øster</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Vrå</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Mollerup</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Sdr</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Dråby</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Glamsbjerg</w:t>
      </w:r>
      <w:proofErr w:type="spellEnd"/>
      <w:r w:rsidRPr="00B102F4">
        <w:rPr>
          <w:rFonts w:ascii="Times New Roman" w:eastAsia="Times New Roman" w:hAnsi="Times New Roman" w:cs="Times New Roman"/>
          <w:sz w:val="24"/>
          <w:szCs w:val="24"/>
          <w:lang w:val="en" w:eastAsia="da-DK"/>
        </w:rPr>
        <w:t xml:space="preserve"> etc. </w:t>
      </w:r>
      <w:r w:rsidRPr="00B102F4">
        <w:rPr>
          <w:rFonts w:ascii="Times New Roman" w:eastAsia="Times New Roman" w:hAnsi="Times New Roman" w:cs="Times New Roman"/>
          <w:sz w:val="24"/>
          <w:szCs w:val="24"/>
          <w:lang w:val="en" w:eastAsia="da-DK"/>
        </w:rPr>
        <w:br/>
      </w:r>
      <w:bookmarkStart w:id="117" w:name="_ftn24"/>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"_ftnref24"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[24]</w:t>
      </w:r>
      <w:r w:rsidRPr="00B102F4">
        <w:rPr>
          <w:rFonts w:ascii="Times New Roman" w:eastAsia="Times New Roman" w:hAnsi="Times New Roman" w:cs="Times New Roman"/>
          <w:sz w:val="24"/>
          <w:szCs w:val="24"/>
          <w:vertAlign w:val="superscript"/>
          <w:lang w:val="en" w:eastAsia="da-DK"/>
        </w:rPr>
        <w:fldChar w:fldCharType="end"/>
      </w:r>
      <w:bookmarkEnd w:id="117"/>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Yara</w:t>
      </w:r>
      <w:proofErr w:type="spellEnd"/>
      <w:r w:rsidRPr="00B102F4">
        <w:rPr>
          <w:rFonts w:ascii="Times New Roman" w:eastAsia="Times New Roman" w:hAnsi="Times New Roman" w:cs="Times New Roman"/>
          <w:sz w:val="24"/>
          <w:szCs w:val="24"/>
          <w:lang w:val="en" w:eastAsia="da-DK"/>
        </w:rPr>
        <w:t xml:space="preserve"> (Randers),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Fredericia</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Svane</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og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Gørding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Kongerslev</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Havekalk</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AaA</w:t>
      </w:r>
      <w:proofErr w:type="spellEnd"/>
      <w:r w:rsidRPr="00B102F4">
        <w:rPr>
          <w:rFonts w:ascii="Times New Roman" w:eastAsia="Times New Roman" w:hAnsi="Times New Roman" w:cs="Times New Roman"/>
          <w:sz w:val="24"/>
          <w:szCs w:val="24"/>
          <w:lang w:val="en" w:eastAsia="da-DK"/>
        </w:rPr>
        <w:t>, SAF, DLG (</w:t>
      </w:r>
      <w:proofErr w:type="spellStart"/>
      <w:r w:rsidRPr="00B102F4">
        <w:rPr>
          <w:rFonts w:ascii="Times New Roman" w:eastAsia="Times New Roman" w:hAnsi="Times New Roman" w:cs="Times New Roman"/>
          <w:sz w:val="24"/>
          <w:szCs w:val="24"/>
          <w:lang w:val="en" w:eastAsia="da-DK"/>
        </w:rPr>
        <w:t>Glæsborg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Vestjysk</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Andels</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Foderstofforretning</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Hornsyld</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Brdr</w:t>
      </w:r>
      <w:proofErr w:type="spellEnd"/>
      <w:r w:rsidRPr="00B102F4">
        <w:rPr>
          <w:rFonts w:ascii="Times New Roman" w:eastAsia="Times New Roman" w:hAnsi="Times New Roman" w:cs="Times New Roman"/>
          <w:sz w:val="24"/>
          <w:szCs w:val="24"/>
          <w:lang w:val="en" w:eastAsia="da-DK"/>
        </w:rPr>
        <w:t xml:space="preserve">. Ewers, </w:t>
      </w:r>
      <w:proofErr w:type="spellStart"/>
      <w:r w:rsidRPr="00B102F4">
        <w:rPr>
          <w:rFonts w:ascii="Times New Roman" w:eastAsia="Times New Roman" w:hAnsi="Times New Roman" w:cs="Times New Roman"/>
          <w:sz w:val="24"/>
          <w:szCs w:val="24"/>
          <w:lang w:val="en" w:eastAsia="da-DK"/>
        </w:rPr>
        <w:t>Sandmanden</w:t>
      </w:r>
      <w:proofErr w:type="spellEnd"/>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Daugård</w:t>
      </w:r>
      <w:proofErr w:type="spellEnd"/>
      <w:r w:rsidRPr="00B102F4">
        <w:rPr>
          <w:rFonts w:ascii="Times New Roman" w:eastAsia="Times New Roman" w:hAnsi="Times New Roman" w:cs="Times New Roman"/>
          <w:sz w:val="24"/>
          <w:szCs w:val="24"/>
          <w:lang w:val="en" w:eastAsia="da-DK"/>
        </w:rPr>
        <w:t xml:space="preserve">, Randers Cement, KFK Salt, </w:t>
      </w:r>
      <w:proofErr w:type="spellStart"/>
      <w:r w:rsidRPr="00B102F4">
        <w:rPr>
          <w:rFonts w:ascii="Times New Roman" w:eastAsia="Times New Roman" w:hAnsi="Times New Roman" w:cs="Times New Roman"/>
          <w:sz w:val="24"/>
          <w:szCs w:val="24"/>
          <w:lang w:val="en" w:eastAsia="da-DK"/>
        </w:rPr>
        <w:t>Brøste</w:t>
      </w:r>
      <w:proofErr w:type="spellEnd"/>
      <w:r w:rsidRPr="00B102F4">
        <w:rPr>
          <w:rFonts w:ascii="Times New Roman" w:eastAsia="Times New Roman" w:hAnsi="Times New Roman" w:cs="Times New Roman"/>
          <w:sz w:val="24"/>
          <w:szCs w:val="24"/>
          <w:lang w:val="en" w:eastAsia="da-DK"/>
        </w:rPr>
        <w:t xml:space="preserve"> Salt and </w:t>
      </w:r>
      <w:proofErr w:type="spellStart"/>
      <w:r w:rsidRPr="00B102F4">
        <w:rPr>
          <w:rFonts w:ascii="Times New Roman" w:eastAsia="Times New Roman" w:hAnsi="Times New Roman" w:cs="Times New Roman"/>
          <w:sz w:val="24"/>
          <w:szCs w:val="24"/>
          <w:lang w:val="en" w:eastAsia="da-DK"/>
        </w:rPr>
        <w:t>Leca</w:t>
      </w:r>
      <w:proofErr w:type="spellEnd"/>
      <w:r w:rsidRPr="00B102F4">
        <w:rPr>
          <w:rFonts w:ascii="Times New Roman" w:eastAsia="Times New Roman" w:hAnsi="Times New Roman" w:cs="Times New Roman"/>
          <w:sz w:val="24"/>
          <w:szCs w:val="24"/>
          <w:lang w:val="en" w:eastAsia="da-DK"/>
        </w:rPr>
        <w:t xml:space="preserve"> all have the necessary equipment but not all of them bag fertilizers; there is no indication that it would not be possible for all of them to bag fertilizers, if they had the products at hand. </w:t>
      </w:r>
      <w:r w:rsidRPr="00B102F4">
        <w:rPr>
          <w:rFonts w:ascii="Times New Roman" w:eastAsia="Times New Roman" w:hAnsi="Times New Roman" w:cs="Times New Roman"/>
          <w:sz w:val="24"/>
          <w:szCs w:val="24"/>
          <w:lang w:val="en" w:eastAsia="da-DK"/>
        </w:rPr>
        <w:br/>
      </w:r>
      <w:bookmarkStart w:id="118" w:name="_ftn25"/>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"_ftnref25"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[25]</w:t>
      </w:r>
      <w:r w:rsidRPr="00B102F4">
        <w:rPr>
          <w:rFonts w:ascii="Times New Roman" w:eastAsia="Times New Roman" w:hAnsi="Times New Roman" w:cs="Times New Roman"/>
          <w:sz w:val="24"/>
          <w:szCs w:val="24"/>
          <w:vertAlign w:val="superscript"/>
          <w:lang w:val="en" w:eastAsia="da-DK"/>
        </w:rPr>
        <w:fldChar w:fldCharType="end"/>
      </w:r>
      <w:bookmarkEnd w:id="118"/>
      <w:r w:rsidRPr="00B102F4">
        <w:rPr>
          <w:rFonts w:ascii="Times New Roman" w:eastAsia="Times New Roman" w:hAnsi="Times New Roman" w:cs="Times New Roman"/>
          <w:sz w:val="24"/>
          <w:szCs w:val="24"/>
          <w:lang w:val="en" w:eastAsia="da-DK"/>
        </w:rPr>
        <w:t xml:space="preserve"> Not including </w:t>
      </w:r>
      <w:proofErr w:type="spellStart"/>
      <w:r w:rsidRPr="00B102F4">
        <w:rPr>
          <w:rFonts w:ascii="Times New Roman" w:eastAsia="Times New Roman" w:hAnsi="Times New Roman" w:cs="Times New Roman"/>
          <w:sz w:val="24"/>
          <w:szCs w:val="24"/>
          <w:lang w:val="en" w:eastAsia="da-DK"/>
        </w:rPr>
        <w:t>speciality</w:t>
      </w:r>
      <w:proofErr w:type="spellEnd"/>
      <w:r w:rsidRPr="00B102F4">
        <w:rPr>
          <w:rFonts w:ascii="Times New Roman" w:eastAsia="Times New Roman" w:hAnsi="Times New Roman" w:cs="Times New Roman"/>
          <w:sz w:val="24"/>
          <w:szCs w:val="24"/>
          <w:lang w:val="en" w:eastAsia="da-DK"/>
        </w:rPr>
        <w:t xml:space="preserve"> fertilizers and liquid fertilizers. The estimate is based on price lists from members of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t>
      </w:r>
      <w:r w:rsidRPr="00B102F4">
        <w:rPr>
          <w:rFonts w:ascii="Times New Roman" w:eastAsia="Times New Roman" w:hAnsi="Times New Roman" w:cs="Times New Roman"/>
          <w:sz w:val="24"/>
          <w:szCs w:val="24"/>
          <w:lang w:val="en" w:eastAsia="da-DK"/>
        </w:rPr>
        <w:br/>
      </w:r>
      <w:bookmarkStart w:id="119" w:name="_ftn26"/>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"_ftnref26"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[26]</w:t>
      </w:r>
      <w:r w:rsidRPr="00B102F4">
        <w:rPr>
          <w:rFonts w:ascii="Times New Roman" w:eastAsia="Times New Roman" w:hAnsi="Times New Roman" w:cs="Times New Roman"/>
          <w:sz w:val="24"/>
          <w:szCs w:val="24"/>
          <w:vertAlign w:val="superscript"/>
          <w:lang w:val="en" w:eastAsia="da-DK"/>
        </w:rPr>
        <w:fldChar w:fldCharType="end"/>
      </w:r>
      <w:bookmarkEnd w:id="119"/>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Grovvarefusionen</w:t>
      </w:r>
      <w:proofErr w:type="spellEnd"/>
      <w:r w:rsidRPr="00B102F4">
        <w:rPr>
          <w:rFonts w:ascii="Times New Roman" w:eastAsia="Times New Roman" w:hAnsi="Times New Roman" w:cs="Times New Roman"/>
          <w:sz w:val="24"/>
          <w:szCs w:val="24"/>
          <w:lang w:val="en" w:eastAsia="da-DK"/>
        </w:rPr>
        <w:t xml:space="preserve">, 2002,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5.2.7</w:t>
      </w:r>
      <w:proofErr w:type="gramStart"/>
      <w:r w:rsidRPr="00B102F4">
        <w:rPr>
          <w:rFonts w:ascii="Times New Roman" w:eastAsia="Times New Roman" w:hAnsi="Times New Roman" w:cs="Times New Roman"/>
          <w:sz w:val="24"/>
          <w:szCs w:val="24"/>
          <w:lang w:val="en" w:eastAsia="da-DK"/>
        </w:rPr>
        <w:t>.</w:t>
      </w:r>
      <w:proofErr w:type="gramEnd"/>
      <w:r w:rsidRPr="00B102F4">
        <w:rPr>
          <w:rFonts w:ascii="Times New Roman" w:eastAsia="Times New Roman" w:hAnsi="Times New Roman" w:cs="Times New Roman"/>
          <w:sz w:val="24"/>
          <w:szCs w:val="24"/>
          <w:lang w:val="en" w:eastAsia="da-DK"/>
        </w:rPr>
        <w:br/>
      </w:r>
      <w:bookmarkStart w:id="120" w:name="_ftn27"/>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"_ftnref27"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[27]</w:t>
      </w:r>
      <w:r w:rsidRPr="00B102F4">
        <w:rPr>
          <w:rFonts w:ascii="Times New Roman" w:eastAsia="Times New Roman" w:hAnsi="Times New Roman" w:cs="Times New Roman"/>
          <w:sz w:val="24"/>
          <w:szCs w:val="24"/>
          <w:vertAlign w:val="superscript"/>
          <w:lang w:val="en" w:eastAsia="da-DK"/>
        </w:rPr>
        <w:fldChar w:fldCharType="end"/>
      </w:r>
      <w:bookmarkEnd w:id="120"/>
      <w:r w:rsidRPr="00B102F4">
        <w:rPr>
          <w:rFonts w:ascii="Times New Roman" w:eastAsia="Times New Roman" w:hAnsi="Times New Roman" w:cs="Times New Roman"/>
          <w:sz w:val="24"/>
          <w:szCs w:val="24"/>
          <w:lang w:val="en" w:eastAsia="da-DK"/>
        </w:rPr>
        <w:t xml:space="preserve"> In previous Commission decisions, the geographic scope of the production market was at least the EEA. </w:t>
      </w:r>
      <w:r w:rsidRPr="00B102F4">
        <w:rPr>
          <w:rFonts w:ascii="Times New Roman" w:eastAsia="Times New Roman" w:hAnsi="Times New Roman" w:cs="Times New Roman"/>
          <w:sz w:val="24"/>
          <w:szCs w:val="24"/>
          <w:lang w:val="en" w:eastAsia="da-DK"/>
        </w:rPr>
        <w:br/>
      </w:r>
      <w:bookmarkStart w:id="121" w:name="_ftn28"/>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"_ftnref28"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[28]</w:t>
      </w:r>
      <w:r w:rsidRPr="00B102F4">
        <w:rPr>
          <w:rFonts w:ascii="Times New Roman" w:eastAsia="Times New Roman" w:hAnsi="Times New Roman" w:cs="Times New Roman"/>
          <w:sz w:val="24"/>
          <w:szCs w:val="24"/>
          <w:vertAlign w:val="superscript"/>
          <w:lang w:val="en" w:eastAsia="da-DK"/>
        </w:rPr>
        <w:fldChar w:fldCharType="end"/>
      </w:r>
      <w:bookmarkEnd w:id="121"/>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AgroDK’s</w:t>
      </w:r>
      <w:proofErr w:type="spellEnd"/>
      <w:r w:rsidRPr="00B102F4">
        <w:rPr>
          <w:rFonts w:ascii="Times New Roman" w:eastAsia="Times New Roman" w:hAnsi="Times New Roman" w:cs="Times New Roman"/>
          <w:sz w:val="24"/>
          <w:szCs w:val="24"/>
          <w:lang w:val="en" w:eastAsia="da-DK"/>
        </w:rPr>
        <w:t xml:space="preserve"> members are not participating directly in the creation of </w:t>
      </w:r>
      <w:proofErr w:type="spellStart"/>
      <w:r w:rsidRPr="00B102F4">
        <w:rPr>
          <w:rFonts w:ascii="Times New Roman" w:eastAsia="Times New Roman" w:hAnsi="Times New Roman" w:cs="Times New Roman"/>
          <w:sz w:val="24"/>
          <w:szCs w:val="24"/>
          <w:lang w:val="en" w:eastAsia="da-DK"/>
        </w:rPr>
        <w:t>Ferti</w:t>
      </w:r>
      <w:proofErr w:type="spellEnd"/>
      <w:r w:rsidRPr="00B102F4">
        <w:rPr>
          <w:rFonts w:ascii="Times New Roman" w:eastAsia="Times New Roman" w:hAnsi="Times New Roman" w:cs="Times New Roman"/>
          <w:sz w:val="24"/>
          <w:szCs w:val="24"/>
          <w:lang w:val="en" w:eastAsia="da-DK"/>
        </w:rPr>
        <w:t xml:space="preserve"> Supply, but because of their loyalty obligation towards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they are effectively vertically integrated with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w:t>
      </w:r>
      <w:r w:rsidRPr="00B102F4">
        <w:rPr>
          <w:rFonts w:ascii="Times New Roman" w:eastAsia="Times New Roman" w:hAnsi="Times New Roman" w:cs="Times New Roman"/>
          <w:sz w:val="24"/>
          <w:szCs w:val="24"/>
          <w:lang w:val="en" w:eastAsia="da-DK"/>
        </w:rPr>
        <w:br/>
      </w:r>
      <w:bookmarkStart w:id="122" w:name="_ftn29"/>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"_ftnref29"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[29]</w:t>
      </w:r>
      <w:r w:rsidRPr="00B102F4">
        <w:rPr>
          <w:rFonts w:ascii="Times New Roman" w:eastAsia="Times New Roman" w:hAnsi="Times New Roman" w:cs="Times New Roman"/>
          <w:sz w:val="24"/>
          <w:szCs w:val="24"/>
          <w:vertAlign w:val="superscript"/>
          <w:lang w:val="en" w:eastAsia="da-DK"/>
        </w:rPr>
        <w:fldChar w:fldCharType="end"/>
      </w:r>
      <w:bookmarkEnd w:id="122"/>
      <w:r w:rsidRPr="00B102F4">
        <w:rPr>
          <w:rFonts w:ascii="Times New Roman" w:eastAsia="Times New Roman" w:hAnsi="Times New Roman" w:cs="Times New Roman"/>
          <w:sz w:val="24"/>
          <w:szCs w:val="24"/>
          <w:lang w:val="en" w:eastAsia="da-DK"/>
        </w:rPr>
        <w:t xml:space="preserve"> The market shares are the notifying parties’ estimates.</w:t>
      </w:r>
      <w:r w:rsidRPr="00B102F4">
        <w:rPr>
          <w:rFonts w:ascii="Times New Roman" w:eastAsia="Times New Roman" w:hAnsi="Times New Roman" w:cs="Times New Roman"/>
          <w:sz w:val="24"/>
          <w:szCs w:val="24"/>
          <w:lang w:val="en" w:eastAsia="da-DK"/>
        </w:rPr>
        <w:br/>
      </w:r>
      <w:bookmarkStart w:id="123" w:name="_ftn30"/>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"_ftnref30"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[30]</w:t>
      </w:r>
      <w:r w:rsidRPr="00B102F4">
        <w:rPr>
          <w:rFonts w:ascii="Times New Roman" w:eastAsia="Times New Roman" w:hAnsi="Times New Roman" w:cs="Times New Roman"/>
          <w:sz w:val="24"/>
          <w:szCs w:val="24"/>
          <w:vertAlign w:val="superscript"/>
          <w:lang w:val="en" w:eastAsia="da-DK"/>
        </w:rPr>
        <w:fldChar w:fldCharType="end"/>
      </w:r>
      <w:bookmarkEnd w:id="123"/>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Grovvarefusionen</w:t>
      </w:r>
      <w:proofErr w:type="spellEnd"/>
      <w:r w:rsidRPr="00B102F4">
        <w:rPr>
          <w:rFonts w:ascii="Times New Roman" w:eastAsia="Times New Roman" w:hAnsi="Times New Roman" w:cs="Times New Roman"/>
          <w:sz w:val="24"/>
          <w:szCs w:val="24"/>
          <w:lang w:val="en" w:eastAsia="da-DK"/>
        </w:rPr>
        <w:t xml:space="preserve">”, 2002,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6.2.2 (table 6-11).</w:t>
      </w:r>
      <w:r w:rsidRPr="00B102F4">
        <w:rPr>
          <w:rFonts w:ascii="Times New Roman" w:eastAsia="Times New Roman" w:hAnsi="Times New Roman" w:cs="Times New Roman"/>
          <w:sz w:val="24"/>
          <w:szCs w:val="24"/>
          <w:lang w:val="en" w:eastAsia="da-DK"/>
        </w:rPr>
        <w:br/>
      </w:r>
      <w:bookmarkStart w:id="124" w:name="_ftn31"/>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"_ftnref31"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[31]</w:t>
      </w:r>
      <w:r w:rsidRPr="00B102F4">
        <w:rPr>
          <w:rFonts w:ascii="Times New Roman" w:eastAsia="Times New Roman" w:hAnsi="Times New Roman" w:cs="Times New Roman"/>
          <w:sz w:val="24"/>
          <w:szCs w:val="24"/>
          <w:vertAlign w:val="superscript"/>
          <w:lang w:val="en" w:eastAsia="da-DK"/>
        </w:rPr>
        <w:fldChar w:fldCharType="end"/>
      </w:r>
      <w:bookmarkEnd w:id="124"/>
      <w:r w:rsidRPr="00B102F4">
        <w:rPr>
          <w:rFonts w:ascii="Times New Roman" w:eastAsia="Times New Roman" w:hAnsi="Times New Roman" w:cs="Times New Roman"/>
          <w:sz w:val="24"/>
          <w:szCs w:val="24"/>
          <w:lang w:val="en" w:eastAsia="da-DK"/>
        </w:rPr>
        <w:t xml:space="preserve"> Ibid. </w:t>
      </w:r>
      <w:r w:rsidRPr="00B102F4">
        <w:rPr>
          <w:rFonts w:ascii="Times New Roman" w:eastAsia="Times New Roman" w:hAnsi="Times New Roman" w:cs="Times New Roman"/>
          <w:sz w:val="24"/>
          <w:szCs w:val="24"/>
          <w:lang w:val="en" w:eastAsia="da-DK"/>
        </w:rPr>
        <w:br/>
      </w:r>
      <w:bookmarkStart w:id="125" w:name="_ftn32"/>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"_ftnref32"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[32]</w:t>
      </w:r>
      <w:r w:rsidRPr="00B102F4">
        <w:rPr>
          <w:rFonts w:ascii="Times New Roman" w:eastAsia="Times New Roman" w:hAnsi="Times New Roman" w:cs="Times New Roman"/>
          <w:sz w:val="24"/>
          <w:szCs w:val="24"/>
          <w:vertAlign w:val="superscript"/>
          <w:lang w:val="en" w:eastAsia="da-DK"/>
        </w:rPr>
        <w:fldChar w:fldCharType="end"/>
      </w:r>
      <w:bookmarkEnd w:id="125"/>
      <w:r w:rsidRPr="00B102F4">
        <w:rPr>
          <w:rFonts w:ascii="Times New Roman" w:eastAsia="Times New Roman" w:hAnsi="Times New Roman" w:cs="Times New Roman"/>
          <w:sz w:val="24"/>
          <w:szCs w:val="24"/>
          <w:lang w:val="en" w:eastAsia="da-DK"/>
        </w:rPr>
        <w:t xml:space="preserve"> Assessed in the light of the newly established cooperation between </w:t>
      </w:r>
      <w:proofErr w:type="spellStart"/>
      <w:r w:rsidRPr="00B102F4">
        <w:rPr>
          <w:rFonts w:ascii="Times New Roman" w:eastAsia="Times New Roman" w:hAnsi="Times New Roman" w:cs="Times New Roman"/>
          <w:sz w:val="24"/>
          <w:szCs w:val="24"/>
          <w:lang w:val="en" w:eastAsia="da-DK"/>
        </w:rPr>
        <w:t>Kemira</w:t>
      </w:r>
      <w:proofErr w:type="spellEnd"/>
      <w:r w:rsidRPr="00B102F4">
        <w:rPr>
          <w:rFonts w:ascii="Times New Roman" w:eastAsia="Times New Roman" w:hAnsi="Times New Roman" w:cs="Times New Roman"/>
          <w:sz w:val="24"/>
          <w:szCs w:val="24"/>
          <w:lang w:val="en" w:eastAsia="da-DK"/>
        </w:rPr>
        <w:t xml:space="preserve"> and the DLA Agro group, overall 85-95 % of the channels are reserved for DLG, </w:t>
      </w:r>
      <w:proofErr w:type="spellStart"/>
      <w:r w:rsidRPr="00B102F4">
        <w:rPr>
          <w:rFonts w:ascii="Times New Roman" w:eastAsia="Times New Roman" w:hAnsi="Times New Roman" w:cs="Times New Roman"/>
          <w:sz w:val="24"/>
          <w:szCs w:val="24"/>
          <w:lang w:val="en" w:eastAsia="da-DK"/>
        </w:rPr>
        <w:t>AgroDK</w:t>
      </w:r>
      <w:proofErr w:type="spellEnd"/>
      <w:r w:rsidRPr="00B102F4">
        <w:rPr>
          <w:rFonts w:ascii="Times New Roman" w:eastAsia="Times New Roman" w:hAnsi="Times New Roman" w:cs="Times New Roman"/>
          <w:sz w:val="24"/>
          <w:szCs w:val="24"/>
          <w:lang w:val="en" w:eastAsia="da-DK"/>
        </w:rPr>
        <w:t xml:space="preserve"> and DLA Agro.</w:t>
      </w:r>
      <w:r w:rsidRPr="00B102F4">
        <w:rPr>
          <w:rFonts w:ascii="Times New Roman" w:eastAsia="Times New Roman" w:hAnsi="Times New Roman" w:cs="Times New Roman"/>
          <w:sz w:val="24"/>
          <w:szCs w:val="24"/>
          <w:lang w:val="en" w:eastAsia="da-DK"/>
        </w:rPr>
        <w:br/>
      </w:r>
      <w:bookmarkStart w:id="126" w:name="_ftn33"/>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"_ftnref33"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[33]</w:t>
      </w:r>
      <w:r w:rsidRPr="00B102F4">
        <w:rPr>
          <w:rFonts w:ascii="Times New Roman" w:eastAsia="Times New Roman" w:hAnsi="Times New Roman" w:cs="Times New Roman"/>
          <w:sz w:val="24"/>
          <w:szCs w:val="24"/>
          <w:vertAlign w:val="superscript"/>
          <w:lang w:val="en" w:eastAsia="da-DK"/>
        </w:rPr>
        <w:fldChar w:fldCharType="end"/>
      </w:r>
      <w:bookmarkEnd w:id="126"/>
      <w:r w:rsidRPr="00B102F4">
        <w:rPr>
          <w:rFonts w:ascii="Times New Roman" w:eastAsia="Times New Roman" w:hAnsi="Times New Roman" w:cs="Times New Roman"/>
          <w:sz w:val="24"/>
          <w:szCs w:val="24"/>
          <w:lang w:val="en" w:eastAsia="da-DK"/>
        </w:rPr>
        <w:t xml:space="preserve"> Following the take-over of some of KFK’s activities. Before that, DLG had a market share of 35-40 %. See </w:t>
      </w:r>
      <w:proofErr w:type="spellStart"/>
      <w:r w:rsidRPr="00B102F4">
        <w:rPr>
          <w:rFonts w:ascii="Times New Roman" w:eastAsia="Times New Roman" w:hAnsi="Times New Roman" w:cs="Times New Roman"/>
          <w:sz w:val="24"/>
          <w:szCs w:val="24"/>
          <w:lang w:val="en" w:eastAsia="da-DK"/>
        </w:rPr>
        <w:t>Grovvarefusionen</w:t>
      </w:r>
      <w:proofErr w:type="spellEnd"/>
      <w:r w:rsidRPr="00B102F4">
        <w:rPr>
          <w:rFonts w:ascii="Times New Roman" w:eastAsia="Times New Roman" w:hAnsi="Times New Roman" w:cs="Times New Roman"/>
          <w:sz w:val="24"/>
          <w:szCs w:val="24"/>
          <w:lang w:val="en" w:eastAsia="da-DK"/>
        </w:rPr>
        <w:t xml:space="preserve">, 2002,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6.2.2 (table 6-11).</w:t>
      </w:r>
      <w:r w:rsidRPr="00B102F4">
        <w:rPr>
          <w:rFonts w:ascii="Times New Roman" w:eastAsia="Times New Roman" w:hAnsi="Times New Roman" w:cs="Times New Roman"/>
          <w:sz w:val="24"/>
          <w:szCs w:val="24"/>
          <w:lang w:val="en" w:eastAsia="da-DK"/>
        </w:rPr>
        <w:br/>
      </w:r>
      <w:bookmarkStart w:id="127" w:name="_ftn34"/>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"_ftnref34"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[34]</w:t>
      </w:r>
      <w:r w:rsidRPr="00B102F4">
        <w:rPr>
          <w:rFonts w:ascii="Times New Roman" w:eastAsia="Times New Roman" w:hAnsi="Times New Roman" w:cs="Times New Roman"/>
          <w:sz w:val="24"/>
          <w:szCs w:val="24"/>
          <w:vertAlign w:val="superscript"/>
          <w:lang w:val="en" w:eastAsia="da-DK"/>
        </w:rPr>
        <w:fldChar w:fldCharType="end"/>
      </w:r>
      <w:bookmarkEnd w:id="127"/>
      <w:r w:rsidRPr="00B102F4">
        <w:rPr>
          <w:rFonts w:ascii="Times New Roman" w:eastAsia="Times New Roman" w:hAnsi="Times New Roman" w:cs="Times New Roman"/>
          <w:sz w:val="24"/>
          <w:szCs w:val="24"/>
          <w:lang w:val="en" w:eastAsia="da-DK"/>
        </w:rPr>
        <w:t xml:space="preserve"> The ECJ has recently stated in Case T-210/01, </w:t>
      </w:r>
      <w:r w:rsidRPr="00B102F4">
        <w:rPr>
          <w:rFonts w:ascii="Times New Roman" w:eastAsia="Times New Roman" w:hAnsi="Times New Roman" w:cs="Times New Roman"/>
          <w:i/>
          <w:iCs/>
          <w:sz w:val="24"/>
          <w:szCs w:val="24"/>
          <w:lang w:val="en" w:eastAsia="da-DK"/>
        </w:rPr>
        <w:t>General Electric</w:t>
      </w:r>
      <w:r w:rsidRPr="00B102F4">
        <w:rPr>
          <w:rFonts w:ascii="Times New Roman" w:eastAsia="Times New Roman" w:hAnsi="Times New Roman" w:cs="Times New Roman"/>
          <w:sz w:val="24"/>
          <w:szCs w:val="24"/>
          <w:lang w:val="en" w:eastAsia="da-DK"/>
        </w:rPr>
        <w:t xml:space="preserve"> v </w:t>
      </w:r>
      <w:r w:rsidRPr="00B102F4">
        <w:rPr>
          <w:rFonts w:ascii="Times New Roman" w:eastAsia="Times New Roman" w:hAnsi="Times New Roman" w:cs="Times New Roman"/>
          <w:i/>
          <w:iCs/>
          <w:sz w:val="24"/>
          <w:szCs w:val="24"/>
          <w:lang w:val="en" w:eastAsia="da-DK"/>
        </w:rPr>
        <w:t>Commission</w:t>
      </w:r>
      <w:r w:rsidRPr="00B102F4">
        <w:rPr>
          <w:rFonts w:ascii="Times New Roman" w:eastAsia="Times New Roman" w:hAnsi="Times New Roman" w:cs="Times New Roman"/>
          <w:sz w:val="24"/>
          <w:szCs w:val="24"/>
          <w:lang w:val="en" w:eastAsia="da-DK"/>
        </w:rPr>
        <w:t xml:space="preserve">,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115: “[] although the importance of market shares may vary from one market to another, very large shares are in themselves, and save in exceptional circumstances, evidence of the existence of a dominant position (</w:t>
      </w:r>
      <w:r w:rsidRPr="00B102F4">
        <w:rPr>
          <w:rFonts w:ascii="Times New Roman" w:eastAsia="Times New Roman" w:hAnsi="Times New Roman" w:cs="Times New Roman"/>
          <w:i/>
          <w:iCs/>
          <w:sz w:val="24"/>
          <w:szCs w:val="24"/>
          <w:lang w:val="en" w:eastAsia="da-DK"/>
        </w:rPr>
        <w:t>Hoffmann-La Roche</w:t>
      </w:r>
      <w:r w:rsidRPr="00B102F4">
        <w:rPr>
          <w:rFonts w:ascii="Times New Roman" w:eastAsia="Times New Roman" w:hAnsi="Times New Roman" w:cs="Times New Roman"/>
          <w:sz w:val="24"/>
          <w:szCs w:val="24"/>
          <w:lang w:val="en" w:eastAsia="da-DK"/>
        </w:rPr>
        <w:t xml:space="preserve"> v </w:t>
      </w:r>
      <w:r w:rsidRPr="00B102F4">
        <w:rPr>
          <w:rFonts w:ascii="Times New Roman" w:eastAsia="Times New Roman" w:hAnsi="Times New Roman" w:cs="Times New Roman"/>
          <w:i/>
          <w:iCs/>
          <w:sz w:val="24"/>
          <w:szCs w:val="24"/>
          <w:lang w:val="en" w:eastAsia="da-DK"/>
        </w:rPr>
        <w:t>Commission</w:t>
      </w:r>
      <w:r w:rsidRPr="00B102F4">
        <w:rPr>
          <w:rFonts w:ascii="Times New Roman" w:eastAsia="Times New Roman" w:hAnsi="Times New Roman" w:cs="Times New Roman"/>
          <w:sz w:val="24"/>
          <w:szCs w:val="24"/>
          <w:lang w:val="en" w:eastAsia="da-DK"/>
        </w:rPr>
        <w:t>, paragraph 101 above, paragraph 41; Case T</w:t>
      </w:r>
      <w:r w:rsidRPr="00B102F4">
        <w:rPr>
          <w:rFonts w:ascii="Times New Roman" w:eastAsia="Times New Roman" w:hAnsi="Times New Roman" w:cs="Times New Roman"/>
          <w:sz w:val="24"/>
          <w:szCs w:val="24"/>
          <w:lang w:val="en" w:eastAsia="da-DK"/>
        </w:rPr>
        <w:noBreakHyphen/>
        <w:t xml:space="preserve"> 221/95 </w:t>
      </w:r>
      <w:proofErr w:type="spellStart"/>
      <w:r w:rsidRPr="00B102F4">
        <w:rPr>
          <w:rFonts w:ascii="Times New Roman" w:eastAsia="Times New Roman" w:hAnsi="Times New Roman" w:cs="Times New Roman"/>
          <w:i/>
          <w:iCs/>
          <w:sz w:val="24"/>
          <w:szCs w:val="24"/>
          <w:lang w:val="en" w:eastAsia="da-DK"/>
        </w:rPr>
        <w:t>Endemol</w:t>
      </w:r>
      <w:proofErr w:type="spellEnd"/>
      <w:r w:rsidRPr="00B102F4">
        <w:rPr>
          <w:rFonts w:ascii="Times New Roman" w:eastAsia="Times New Roman" w:hAnsi="Times New Roman" w:cs="Times New Roman"/>
          <w:sz w:val="24"/>
          <w:szCs w:val="24"/>
          <w:lang w:val="en" w:eastAsia="da-DK"/>
        </w:rPr>
        <w:t xml:space="preserve"> v </w:t>
      </w:r>
      <w:r w:rsidRPr="00B102F4">
        <w:rPr>
          <w:rFonts w:ascii="Times New Roman" w:eastAsia="Times New Roman" w:hAnsi="Times New Roman" w:cs="Times New Roman"/>
          <w:i/>
          <w:iCs/>
          <w:sz w:val="24"/>
          <w:szCs w:val="24"/>
          <w:lang w:val="en" w:eastAsia="da-DK"/>
        </w:rPr>
        <w:t>Commission</w:t>
      </w:r>
      <w:r w:rsidRPr="00B102F4">
        <w:rPr>
          <w:rFonts w:ascii="Times New Roman" w:eastAsia="Times New Roman" w:hAnsi="Times New Roman" w:cs="Times New Roman"/>
          <w:sz w:val="24"/>
          <w:szCs w:val="24"/>
          <w:lang w:val="en" w:eastAsia="da-DK"/>
        </w:rPr>
        <w:t xml:space="preserve"> [1999] ECR II</w:t>
      </w:r>
      <w:r w:rsidRPr="00B102F4">
        <w:rPr>
          <w:rFonts w:ascii="Times New Roman" w:eastAsia="Times New Roman" w:hAnsi="Times New Roman" w:cs="Times New Roman"/>
          <w:sz w:val="24"/>
          <w:szCs w:val="24"/>
          <w:lang w:val="en" w:eastAsia="da-DK"/>
        </w:rPr>
        <w:noBreakHyphen/>
        <w:t xml:space="preserve"> 1299, paragraph 134). The Court of Justice held in its judgment in Case C</w:t>
      </w:r>
      <w:r w:rsidRPr="00B102F4">
        <w:rPr>
          <w:rFonts w:ascii="Times New Roman" w:eastAsia="Times New Roman" w:hAnsi="Times New Roman" w:cs="Times New Roman"/>
          <w:sz w:val="24"/>
          <w:szCs w:val="24"/>
          <w:lang w:val="en" w:eastAsia="da-DK"/>
        </w:rPr>
        <w:noBreakHyphen/>
        <w:t xml:space="preserve"> 62/86 </w:t>
      </w:r>
      <w:r w:rsidRPr="00B102F4">
        <w:rPr>
          <w:rFonts w:ascii="Times New Roman" w:eastAsia="Times New Roman" w:hAnsi="Times New Roman" w:cs="Times New Roman"/>
          <w:i/>
          <w:iCs/>
          <w:sz w:val="24"/>
          <w:szCs w:val="24"/>
          <w:lang w:val="en" w:eastAsia="da-DK"/>
        </w:rPr>
        <w:t>AKZO</w:t>
      </w:r>
      <w:r w:rsidRPr="00B102F4">
        <w:rPr>
          <w:rFonts w:ascii="Times New Roman" w:eastAsia="Times New Roman" w:hAnsi="Times New Roman" w:cs="Times New Roman"/>
          <w:sz w:val="24"/>
          <w:szCs w:val="24"/>
          <w:lang w:val="en" w:eastAsia="da-DK"/>
        </w:rPr>
        <w:t xml:space="preserve"> v </w:t>
      </w:r>
      <w:r w:rsidRPr="00B102F4">
        <w:rPr>
          <w:rFonts w:ascii="Times New Roman" w:eastAsia="Times New Roman" w:hAnsi="Times New Roman" w:cs="Times New Roman"/>
          <w:i/>
          <w:iCs/>
          <w:sz w:val="24"/>
          <w:szCs w:val="24"/>
          <w:lang w:val="en" w:eastAsia="da-DK"/>
        </w:rPr>
        <w:t>Commission</w:t>
      </w:r>
      <w:r w:rsidRPr="00B102F4">
        <w:rPr>
          <w:rFonts w:ascii="Times New Roman" w:eastAsia="Times New Roman" w:hAnsi="Times New Roman" w:cs="Times New Roman"/>
          <w:sz w:val="24"/>
          <w:szCs w:val="24"/>
          <w:lang w:val="en" w:eastAsia="da-DK"/>
        </w:rPr>
        <w:t xml:space="preserve"> [1991] ECR I</w:t>
      </w:r>
      <w:r w:rsidRPr="00B102F4">
        <w:rPr>
          <w:rFonts w:ascii="Times New Roman" w:eastAsia="Times New Roman" w:hAnsi="Times New Roman" w:cs="Times New Roman"/>
          <w:sz w:val="24"/>
          <w:szCs w:val="24"/>
          <w:lang w:val="en" w:eastAsia="da-DK"/>
        </w:rPr>
        <w:noBreakHyphen/>
        <w:t xml:space="preserve"> 3359, paragraph 60, that that was so in the case of a 50% market share”. </w:t>
      </w:r>
      <w:r w:rsidRPr="00B102F4">
        <w:rPr>
          <w:rFonts w:ascii="Times New Roman" w:eastAsia="Times New Roman" w:hAnsi="Times New Roman" w:cs="Times New Roman"/>
          <w:sz w:val="24"/>
          <w:szCs w:val="24"/>
          <w:lang w:val="en" w:eastAsia="da-DK"/>
        </w:rPr>
        <w:br/>
      </w:r>
      <w:bookmarkStart w:id="128" w:name="_ftn35"/>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"_ftnref35"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[35]</w:t>
      </w:r>
      <w:r w:rsidRPr="00B102F4">
        <w:rPr>
          <w:rFonts w:ascii="Times New Roman" w:eastAsia="Times New Roman" w:hAnsi="Times New Roman" w:cs="Times New Roman"/>
          <w:sz w:val="24"/>
          <w:szCs w:val="24"/>
          <w:vertAlign w:val="superscript"/>
          <w:lang w:val="en" w:eastAsia="da-DK"/>
        </w:rPr>
        <w:fldChar w:fldCharType="end"/>
      </w:r>
      <w:bookmarkEnd w:id="128"/>
      <w:r w:rsidRPr="00B102F4">
        <w:rPr>
          <w:rFonts w:ascii="Times New Roman" w:eastAsia="Times New Roman" w:hAnsi="Times New Roman" w:cs="Times New Roman"/>
          <w:sz w:val="24"/>
          <w:szCs w:val="24"/>
          <w:lang w:val="en" w:eastAsia="da-DK"/>
        </w:rPr>
        <w:t xml:space="preserve"> Input foreclosure occurs when the integrated firm stops supplying competing downstream firms. By locking up a large enough </w:t>
      </w:r>
      <w:proofErr w:type="gramStart"/>
      <w:r w:rsidRPr="00B102F4">
        <w:rPr>
          <w:rFonts w:ascii="Times New Roman" w:eastAsia="Times New Roman" w:hAnsi="Times New Roman" w:cs="Times New Roman"/>
          <w:sz w:val="24"/>
          <w:szCs w:val="24"/>
          <w:lang w:val="en" w:eastAsia="da-DK"/>
        </w:rPr>
        <w:t>share</w:t>
      </w:r>
      <w:proofErr w:type="gramEnd"/>
      <w:r w:rsidRPr="00B102F4">
        <w:rPr>
          <w:rFonts w:ascii="Times New Roman" w:eastAsia="Times New Roman" w:hAnsi="Times New Roman" w:cs="Times New Roman"/>
          <w:sz w:val="24"/>
          <w:szCs w:val="24"/>
          <w:lang w:val="en" w:eastAsia="da-DK"/>
        </w:rPr>
        <w:t xml:space="preserve"> of buyers, a seller may be able to foreclose rival sellers from the market. The elimination of firms upstream may, in turn, result in input foreclosure for un-integrated firms downstream. </w:t>
      </w:r>
      <w:r w:rsidRPr="00B102F4">
        <w:rPr>
          <w:rFonts w:ascii="Times New Roman" w:eastAsia="Times New Roman" w:hAnsi="Times New Roman" w:cs="Times New Roman"/>
          <w:sz w:val="24"/>
          <w:szCs w:val="24"/>
          <w:lang w:val="en" w:eastAsia="da-DK"/>
        </w:rPr>
        <w:br/>
      </w:r>
      <w:bookmarkStart w:id="129" w:name="_ftn36"/>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"_ftnref36"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[36]</w:t>
      </w:r>
      <w:r w:rsidRPr="00B102F4">
        <w:rPr>
          <w:rFonts w:ascii="Times New Roman" w:eastAsia="Times New Roman" w:hAnsi="Times New Roman" w:cs="Times New Roman"/>
          <w:sz w:val="24"/>
          <w:szCs w:val="24"/>
          <w:vertAlign w:val="superscript"/>
          <w:lang w:val="en" w:eastAsia="da-DK"/>
        </w:rPr>
        <w:fldChar w:fldCharType="end"/>
      </w:r>
      <w:bookmarkEnd w:id="129"/>
      <w:r w:rsidRPr="00B102F4">
        <w:rPr>
          <w:rFonts w:ascii="Times New Roman" w:eastAsia="Times New Roman" w:hAnsi="Times New Roman" w:cs="Times New Roman"/>
          <w:sz w:val="24"/>
          <w:szCs w:val="24"/>
          <w:lang w:val="en" w:eastAsia="da-DK"/>
        </w:rPr>
        <w:t xml:space="preserve"> Customer foreclosure occurs when the downstream division of the integrated firm no longer sources supply from independent upstream firms.</w:t>
      </w:r>
      <w:r w:rsidRPr="00B102F4">
        <w:rPr>
          <w:rFonts w:ascii="Times New Roman" w:eastAsia="Times New Roman" w:hAnsi="Times New Roman" w:cs="Times New Roman"/>
          <w:sz w:val="24"/>
          <w:szCs w:val="24"/>
          <w:lang w:val="en" w:eastAsia="da-DK"/>
        </w:rPr>
        <w:br/>
      </w:r>
      <w:bookmarkStart w:id="130" w:name="_ftn37"/>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"_ftnref37"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[37]</w:t>
      </w:r>
      <w:r w:rsidRPr="00B102F4">
        <w:rPr>
          <w:rFonts w:ascii="Times New Roman" w:eastAsia="Times New Roman" w:hAnsi="Times New Roman" w:cs="Times New Roman"/>
          <w:sz w:val="24"/>
          <w:szCs w:val="24"/>
          <w:vertAlign w:val="superscript"/>
          <w:lang w:val="en" w:eastAsia="da-DK"/>
        </w:rPr>
        <w:fldChar w:fldCharType="end"/>
      </w:r>
      <w:bookmarkEnd w:id="130"/>
      <w:r w:rsidRPr="00B102F4">
        <w:rPr>
          <w:rFonts w:ascii="Times New Roman" w:eastAsia="Times New Roman" w:hAnsi="Times New Roman" w:cs="Times New Roman"/>
          <w:sz w:val="24"/>
          <w:szCs w:val="24"/>
          <w:lang w:val="en" w:eastAsia="da-DK"/>
        </w:rPr>
        <w:t xml:space="preserve"> In markets characterized by high levels of concentration, enhanced coordination is a real concern. A vertical cooperation, which increases the extent of vertical integration in the market, may contribute to a substantial lessening of competition because of an increase in the effectiveness of monitoring and therefore a reduced incentive to cut prices. See in more details, “The Impact of Vertical and Conglomerate Mergers on Competition”, Report for DG Competition, European Commission; report prepared by Jeffrey Church (University of Calgary, Canada). </w:t>
      </w:r>
      <w:r w:rsidRPr="00B102F4">
        <w:rPr>
          <w:rFonts w:ascii="Times New Roman" w:eastAsia="Times New Roman" w:hAnsi="Times New Roman" w:cs="Times New Roman"/>
          <w:sz w:val="24"/>
          <w:szCs w:val="24"/>
          <w:lang w:val="en" w:eastAsia="da-DK"/>
        </w:rPr>
        <w:br/>
      </w:r>
      <w:bookmarkStart w:id="131" w:name="_ftn38"/>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"_ftnref38"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[38]</w:t>
      </w:r>
      <w:r w:rsidRPr="00B102F4">
        <w:rPr>
          <w:rFonts w:ascii="Times New Roman" w:eastAsia="Times New Roman" w:hAnsi="Times New Roman" w:cs="Times New Roman"/>
          <w:sz w:val="24"/>
          <w:szCs w:val="24"/>
          <w:vertAlign w:val="superscript"/>
          <w:lang w:val="en" w:eastAsia="da-DK"/>
        </w:rPr>
        <w:fldChar w:fldCharType="end"/>
      </w:r>
      <w:bookmarkEnd w:id="131"/>
      <w:r w:rsidRPr="00B102F4">
        <w:rPr>
          <w:rFonts w:ascii="Times New Roman" w:eastAsia="Times New Roman" w:hAnsi="Times New Roman" w:cs="Times New Roman"/>
          <w:sz w:val="24"/>
          <w:szCs w:val="24"/>
          <w:lang w:val="en" w:eastAsia="da-DK"/>
        </w:rPr>
        <w:t xml:space="preserve"> Both the parties and replies from the DCA’s market investigation state that it is very rare that end-users purchase directly from a producer; only very few farmers have the sufficient size to purchase, store and use the volumes required for this. </w:t>
      </w:r>
      <w:r w:rsidRPr="00B102F4">
        <w:rPr>
          <w:rFonts w:ascii="Times New Roman" w:eastAsia="Times New Roman" w:hAnsi="Times New Roman" w:cs="Times New Roman"/>
          <w:sz w:val="24"/>
          <w:szCs w:val="24"/>
          <w:lang w:val="en" w:eastAsia="da-DK"/>
        </w:rPr>
        <w:br/>
      </w:r>
      <w:bookmarkStart w:id="132" w:name="_ftn39"/>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"_ftnref39"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[39]</w:t>
      </w:r>
      <w:r w:rsidRPr="00B102F4">
        <w:rPr>
          <w:rFonts w:ascii="Times New Roman" w:eastAsia="Times New Roman" w:hAnsi="Times New Roman" w:cs="Times New Roman"/>
          <w:sz w:val="24"/>
          <w:szCs w:val="24"/>
          <w:vertAlign w:val="superscript"/>
          <w:lang w:val="en" w:eastAsia="da-DK"/>
        </w:rPr>
        <w:fldChar w:fldCharType="end"/>
      </w:r>
      <w:bookmarkEnd w:id="132"/>
      <w:r w:rsidRPr="00B102F4">
        <w:rPr>
          <w:rFonts w:ascii="Times New Roman" w:eastAsia="Times New Roman" w:hAnsi="Times New Roman" w:cs="Times New Roman"/>
          <w:sz w:val="24"/>
          <w:szCs w:val="24"/>
          <w:lang w:val="en" w:eastAsia="da-DK"/>
        </w:rPr>
        <w:t xml:space="preserve"> It is possible to load more than one product per ship but, according to the parties, it rarely takes place. </w:t>
      </w:r>
      <w:r w:rsidRPr="00B102F4">
        <w:rPr>
          <w:rFonts w:ascii="Times New Roman" w:eastAsia="Times New Roman" w:hAnsi="Times New Roman" w:cs="Times New Roman"/>
          <w:sz w:val="24"/>
          <w:szCs w:val="24"/>
          <w:lang w:val="en" w:eastAsia="da-DK"/>
        </w:rPr>
        <w:br/>
      </w:r>
      <w:bookmarkStart w:id="133" w:name="_ftn40"/>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"_ftnref40"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[40]</w:t>
      </w:r>
      <w:r w:rsidRPr="00B102F4">
        <w:rPr>
          <w:rFonts w:ascii="Times New Roman" w:eastAsia="Times New Roman" w:hAnsi="Times New Roman" w:cs="Times New Roman"/>
          <w:sz w:val="24"/>
          <w:szCs w:val="24"/>
          <w:vertAlign w:val="superscript"/>
          <w:lang w:val="en" w:eastAsia="da-DK"/>
        </w:rPr>
        <w:fldChar w:fldCharType="end"/>
      </w:r>
      <w:bookmarkEnd w:id="133"/>
      <w:r w:rsidRPr="00B102F4">
        <w:rPr>
          <w:rFonts w:ascii="Times New Roman" w:eastAsia="Times New Roman" w:hAnsi="Times New Roman" w:cs="Times New Roman"/>
          <w:sz w:val="24"/>
          <w:szCs w:val="24"/>
          <w:lang w:val="en" w:eastAsia="da-DK"/>
        </w:rPr>
        <w:t xml:space="preserve"> Due to the legal limit for Danish fertilizer usage.</w:t>
      </w:r>
      <w:r w:rsidRPr="00B102F4">
        <w:rPr>
          <w:rFonts w:ascii="Times New Roman" w:eastAsia="Times New Roman" w:hAnsi="Times New Roman" w:cs="Times New Roman"/>
          <w:sz w:val="24"/>
          <w:szCs w:val="24"/>
          <w:lang w:val="en" w:eastAsia="da-DK"/>
        </w:rPr>
        <w:br/>
      </w:r>
      <w:bookmarkStart w:id="134" w:name="_ftn41"/>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"_ftnref41"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[41]</w:t>
      </w:r>
      <w:r w:rsidRPr="00B102F4">
        <w:rPr>
          <w:rFonts w:ascii="Times New Roman" w:eastAsia="Times New Roman" w:hAnsi="Times New Roman" w:cs="Times New Roman"/>
          <w:sz w:val="24"/>
          <w:szCs w:val="24"/>
          <w:vertAlign w:val="superscript"/>
          <w:lang w:val="en" w:eastAsia="da-DK"/>
        </w:rPr>
        <w:fldChar w:fldCharType="end"/>
      </w:r>
      <w:bookmarkEnd w:id="134"/>
      <w:r w:rsidRPr="00B102F4">
        <w:rPr>
          <w:rFonts w:ascii="Times New Roman" w:eastAsia="Times New Roman" w:hAnsi="Times New Roman" w:cs="Times New Roman"/>
          <w:sz w:val="24"/>
          <w:szCs w:val="24"/>
          <w:lang w:val="en" w:eastAsia="da-DK"/>
        </w:rPr>
        <w:t xml:space="preserve"> Cf. </w:t>
      </w:r>
      <w:proofErr w:type="spellStart"/>
      <w:r w:rsidRPr="00B102F4">
        <w:rPr>
          <w:rFonts w:ascii="Times New Roman" w:eastAsia="Times New Roman" w:hAnsi="Times New Roman" w:cs="Times New Roman"/>
          <w:sz w:val="24"/>
          <w:szCs w:val="24"/>
          <w:lang w:val="en" w:eastAsia="da-DK"/>
        </w:rPr>
        <w:t>Tirole</w:t>
      </w:r>
      <w:proofErr w:type="spellEnd"/>
      <w:r w:rsidRPr="00B102F4">
        <w:rPr>
          <w:rFonts w:ascii="Times New Roman" w:eastAsia="Times New Roman" w:hAnsi="Times New Roman" w:cs="Times New Roman"/>
          <w:sz w:val="24"/>
          <w:szCs w:val="24"/>
          <w:lang w:val="en" w:eastAsia="da-DK"/>
        </w:rPr>
        <w:t xml:space="preserve">, J (1988): The Theory of Industrial Organization, Chapter 6. </w:t>
      </w:r>
      <w:r w:rsidRPr="00B102F4">
        <w:rPr>
          <w:rFonts w:ascii="Times New Roman" w:eastAsia="Times New Roman" w:hAnsi="Times New Roman" w:cs="Times New Roman"/>
          <w:sz w:val="24"/>
          <w:szCs w:val="24"/>
          <w:lang w:val="en" w:eastAsia="da-DK"/>
        </w:rPr>
        <w:br/>
      </w:r>
      <w:bookmarkStart w:id="135" w:name="_ftn42"/>
      <w:r w:rsidRPr="00B102F4">
        <w:rPr>
          <w:rFonts w:ascii="Times New Roman" w:eastAsia="Times New Roman" w:hAnsi="Times New Roman" w:cs="Times New Roman"/>
          <w:sz w:val="24"/>
          <w:szCs w:val="24"/>
          <w:vertAlign w:val="superscript"/>
          <w:lang w:val="en" w:eastAsia="da-DK"/>
        </w:rPr>
        <w:lastRenderedPageBreak/>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"_ftnref42"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[42]</w:t>
      </w:r>
      <w:r w:rsidRPr="00B102F4">
        <w:rPr>
          <w:rFonts w:ascii="Times New Roman" w:eastAsia="Times New Roman" w:hAnsi="Times New Roman" w:cs="Times New Roman"/>
          <w:sz w:val="24"/>
          <w:szCs w:val="24"/>
          <w:vertAlign w:val="superscript"/>
          <w:lang w:val="en" w:eastAsia="da-DK"/>
        </w:rPr>
        <w:fldChar w:fldCharType="end"/>
      </w:r>
      <w:bookmarkEnd w:id="135"/>
      <w:r w:rsidRPr="00B102F4">
        <w:rPr>
          <w:rFonts w:ascii="Times New Roman" w:eastAsia="Times New Roman" w:hAnsi="Times New Roman" w:cs="Times New Roman"/>
          <w:sz w:val="24"/>
          <w:szCs w:val="24"/>
          <w:lang w:val="en" w:eastAsia="da-DK"/>
        </w:rPr>
        <w:t xml:space="preserve"> For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there exists competition from other parties than those involved in fertilizers/seeds. Farmers have (in some parts of Denmark) a significant production of “own blends” where they use their own grain and only buy protein, vitamins etc. from retailers. In other parts of Denmark, for example Southern Jutland, Danish </w:t>
      </w:r>
      <w:proofErr w:type="spellStart"/>
      <w:r w:rsidRPr="00B102F4">
        <w:rPr>
          <w:rFonts w:ascii="Times New Roman" w:eastAsia="Times New Roman" w:hAnsi="Times New Roman" w:cs="Times New Roman"/>
          <w:sz w:val="24"/>
          <w:szCs w:val="24"/>
          <w:lang w:val="en" w:eastAsia="da-DK"/>
        </w:rPr>
        <w:t>feedingstuff</w:t>
      </w:r>
      <w:proofErr w:type="spellEnd"/>
      <w:r w:rsidRPr="00B102F4">
        <w:rPr>
          <w:rFonts w:ascii="Times New Roman" w:eastAsia="Times New Roman" w:hAnsi="Times New Roman" w:cs="Times New Roman"/>
          <w:sz w:val="24"/>
          <w:szCs w:val="24"/>
          <w:lang w:val="en" w:eastAsia="da-DK"/>
        </w:rPr>
        <w:t xml:space="preserve"> companies meet competition from Germany.</w:t>
      </w:r>
      <w:r w:rsidRPr="00B102F4">
        <w:rPr>
          <w:rFonts w:ascii="Times New Roman" w:eastAsia="Times New Roman" w:hAnsi="Times New Roman" w:cs="Times New Roman"/>
          <w:sz w:val="24"/>
          <w:szCs w:val="24"/>
          <w:lang w:val="en" w:eastAsia="da-DK"/>
        </w:rPr>
        <w:br/>
      </w:r>
      <w:bookmarkStart w:id="136" w:name="_ftn43"/>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"_ftnref43"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[43]</w:t>
      </w:r>
      <w:r w:rsidRPr="00B102F4">
        <w:rPr>
          <w:rFonts w:ascii="Times New Roman" w:eastAsia="Times New Roman" w:hAnsi="Times New Roman" w:cs="Times New Roman"/>
          <w:sz w:val="24"/>
          <w:szCs w:val="24"/>
          <w:vertAlign w:val="superscript"/>
          <w:lang w:val="en" w:eastAsia="da-DK"/>
        </w:rPr>
        <w:fldChar w:fldCharType="end"/>
      </w:r>
      <w:bookmarkEnd w:id="136"/>
      <w:r w:rsidRPr="00B102F4">
        <w:rPr>
          <w:rFonts w:ascii="Times New Roman" w:eastAsia="Times New Roman" w:hAnsi="Times New Roman" w:cs="Times New Roman"/>
          <w:sz w:val="24"/>
          <w:szCs w:val="24"/>
          <w:lang w:val="en" w:eastAsia="da-DK"/>
        </w:rPr>
        <w:t xml:space="preserve"> Cf.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5 of the Commission Notice on restrictions directly related and necessary to concentrations, OJ C 56, 5.3.2005, p. 24.</w:t>
      </w:r>
      <w:r w:rsidRPr="00B102F4">
        <w:rPr>
          <w:rFonts w:ascii="Times New Roman" w:eastAsia="Times New Roman" w:hAnsi="Times New Roman" w:cs="Times New Roman"/>
          <w:sz w:val="24"/>
          <w:szCs w:val="24"/>
          <w:lang w:val="en" w:eastAsia="da-DK"/>
        </w:rPr>
        <w:br/>
      </w:r>
      <w:bookmarkStart w:id="137" w:name="_ftn44"/>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"_ftnref44"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[44]</w:t>
      </w:r>
      <w:r w:rsidRPr="00B102F4">
        <w:rPr>
          <w:rFonts w:ascii="Times New Roman" w:eastAsia="Times New Roman" w:hAnsi="Times New Roman" w:cs="Times New Roman"/>
          <w:sz w:val="24"/>
          <w:szCs w:val="24"/>
          <w:vertAlign w:val="superscript"/>
          <w:lang w:val="en" w:eastAsia="da-DK"/>
        </w:rPr>
        <w:fldChar w:fldCharType="end"/>
      </w:r>
      <w:bookmarkEnd w:id="137"/>
      <w:r w:rsidRPr="00B102F4">
        <w:rPr>
          <w:rFonts w:ascii="Times New Roman" w:eastAsia="Times New Roman" w:hAnsi="Times New Roman" w:cs="Times New Roman"/>
          <w:sz w:val="24"/>
          <w:szCs w:val="24"/>
          <w:lang w:val="en" w:eastAsia="da-DK"/>
        </w:rPr>
        <w:t xml:space="preserve"> Ibid. </w:t>
      </w:r>
      <w:proofErr w:type="spellStart"/>
      <w:r w:rsidRPr="00B102F4">
        <w:rPr>
          <w:rFonts w:ascii="Times New Roman" w:eastAsia="Times New Roman" w:hAnsi="Times New Roman" w:cs="Times New Roman"/>
          <w:sz w:val="24"/>
          <w:szCs w:val="24"/>
          <w:lang w:val="en" w:eastAsia="da-DK"/>
        </w:rPr>
        <w:t>para</w:t>
      </w:r>
      <w:proofErr w:type="spellEnd"/>
      <w:r w:rsidRPr="00B102F4">
        <w:rPr>
          <w:rFonts w:ascii="Times New Roman" w:eastAsia="Times New Roman" w:hAnsi="Times New Roman" w:cs="Times New Roman"/>
          <w:sz w:val="24"/>
          <w:szCs w:val="24"/>
          <w:lang w:val="en" w:eastAsia="da-DK"/>
        </w:rPr>
        <w:t xml:space="preserve"> 13. </w:t>
      </w:r>
      <w:r w:rsidRPr="00B102F4">
        <w:rPr>
          <w:rFonts w:ascii="Times New Roman" w:eastAsia="Times New Roman" w:hAnsi="Times New Roman" w:cs="Times New Roman"/>
          <w:sz w:val="24"/>
          <w:szCs w:val="24"/>
          <w:lang w:val="en" w:eastAsia="da-DK"/>
        </w:rPr>
        <w:br/>
      </w:r>
      <w:bookmarkStart w:id="138" w:name="_ftn45"/>
      <w:r w:rsidRPr="00B102F4">
        <w:rPr>
          <w:rFonts w:ascii="Times New Roman" w:eastAsia="Times New Roman" w:hAnsi="Times New Roman" w:cs="Times New Roman"/>
          <w:sz w:val="24"/>
          <w:szCs w:val="24"/>
          <w:vertAlign w:val="superscript"/>
          <w:lang w:val="en" w:eastAsia="da-DK"/>
        </w:rPr>
        <w:fldChar w:fldCharType="begin"/>
      </w:r>
      <w:r w:rsidRPr="00B102F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"http://www.kfst.dk/en/konkurrenceomraadet/decisions/decisions-2008-and-earlier/national-decisions-2006/konkurrenceraadets-moede-den-22-februar-2006/the-creation-af-ferti-supply/" \l "_ftnref45" </w:instrText>
      </w:r>
      <w:r w:rsidRPr="00B102F4">
        <w:rPr>
          <w:rFonts w:ascii="Times New Roman" w:eastAsia="Times New Roman" w:hAnsi="Times New Roman" w:cs="Times New Roman"/>
          <w:sz w:val="24"/>
          <w:szCs w:val="24"/>
          <w:vertAlign w:val="superscript"/>
          <w:lang w:val="en" w:eastAsia="da-DK"/>
        </w:rPr>
        <w:fldChar w:fldCharType="separate"/>
      </w:r>
      <w:r w:rsidRPr="00B102F4">
        <w:rPr>
          <w:rFonts w:ascii="Times New Roman" w:eastAsia="Times New Roman" w:hAnsi="Times New Roman" w:cs="Times New Roman"/>
          <w:sz w:val="24"/>
          <w:szCs w:val="24"/>
          <w:u w:val="single"/>
          <w:vertAlign w:val="superscript"/>
          <w:lang w:val="en" w:eastAsia="da-DK"/>
        </w:rPr>
        <w:t>[45]</w:t>
      </w:r>
      <w:r w:rsidRPr="00B102F4">
        <w:rPr>
          <w:rFonts w:ascii="Times New Roman" w:eastAsia="Times New Roman" w:hAnsi="Times New Roman" w:cs="Times New Roman"/>
          <w:sz w:val="24"/>
          <w:szCs w:val="24"/>
          <w:vertAlign w:val="superscript"/>
          <w:lang w:val="en" w:eastAsia="da-DK"/>
        </w:rPr>
        <w:fldChar w:fldCharType="end"/>
      </w:r>
      <w:bookmarkEnd w:id="138"/>
      <w:r w:rsidRPr="00B102F4">
        <w:rPr>
          <w:rFonts w:ascii="Times New Roman" w:eastAsia="Times New Roman" w:hAnsi="Times New Roman" w:cs="Times New Roman"/>
          <w:sz w:val="24"/>
          <w:szCs w:val="24"/>
          <w:lang w:val="en" w:eastAsia="da-DK"/>
        </w:rPr>
        <w:t xml:space="preserve"> Cf. </w:t>
      </w:r>
      <w:proofErr w:type="spellStart"/>
      <w:r w:rsidRPr="00B102F4">
        <w:rPr>
          <w:rFonts w:ascii="Times New Roman" w:eastAsia="Times New Roman" w:hAnsi="Times New Roman" w:cs="Times New Roman"/>
          <w:sz w:val="24"/>
          <w:szCs w:val="24"/>
          <w:lang w:val="en" w:eastAsia="da-DK"/>
        </w:rPr>
        <w:t>Konkurrenceloven</w:t>
      </w:r>
      <w:proofErr w:type="spellEnd"/>
      <w:r w:rsidRPr="00B102F4">
        <w:rPr>
          <w:rFonts w:ascii="Times New Roman" w:eastAsia="Times New Roman" w:hAnsi="Times New Roman" w:cs="Times New Roman"/>
          <w:sz w:val="24"/>
          <w:szCs w:val="24"/>
          <w:lang w:val="en" w:eastAsia="da-DK"/>
        </w:rPr>
        <w:t xml:space="preserve"> med </w:t>
      </w:r>
      <w:proofErr w:type="spellStart"/>
      <w:r w:rsidRPr="00B102F4">
        <w:rPr>
          <w:rFonts w:ascii="Times New Roman" w:eastAsia="Times New Roman" w:hAnsi="Times New Roman" w:cs="Times New Roman"/>
          <w:sz w:val="24"/>
          <w:szCs w:val="24"/>
          <w:lang w:val="en" w:eastAsia="da-DK"/>
        </w:rPr>
        <w:t>kommentarer</w:t>
      </w:r>
      <w:proofErr w:type="spellEnd"/>
      <w:r w:rsidRPr="00B102F4">
        <w:rPr>
          <w:rFonts w:ascii="Times New Roman" w:eastAsia="Times New Roman" w:hAnsi="Times New Roman" w:cs="Times New Roman"/>
          <w:sz w:val="24"/>
          <w:szCs w:val="24"/>
          <w:lang w:val="en" w:eastAsia="da-DK"/>
        </w:rPr>
        <w:t xml:space="preserve">, 2001, page 451. </w:t>
      </w:r>
    </w:p>
    <w:p w:rsidR="00B807AA" w:rsidRPr="00B102F4" w:rsidRDefault="00B807AA"/>
    <w:sectPr w:rsidR="00B807AA" w:rsidRPr="00B102F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2F4"/>
    <w:rsid w:val="00B102F4"/>
    <w:rsid w:val="00B807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B102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B102F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B102F4"/>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B102F4"/>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102F4"/>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B102F4"/>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B102F4"/>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B102F4"/>
    <w:rPr>
      <w:rFonts w:ascii="Times New Roman" w:eastAsia="Times New Roman" w:hAnsi="Times New Roman" w:cs="Times New Roman"/>
      <w:b/>
      <w:bCs/>
      <w:sz w:val="24"/>
      <w:szCs w:val="24"/>
      <w:lang w:eastAsia="da-DK"/>
    </w:rPr>
  </w:style>
  <w:style w:type="character" w:styleId="Hyperlink">
    <w:name w:val="Hyperlink"/>
    <w:basedOn w:val="Standardskrifttypeiafsnit"/>
    <w:uiPriority w:val="99"/>
    <w:semiHidden/>
    <w:unhideWhenUsed/>
    <w:rsid w:val="00B102F4"/>
    <w:rPr>
      <w:color w:val="0000FF"/>
      <w:u w:val="single"/>
    </w:rPr>
  </w:style>
  <w:style w:type="character" w:styleId="BesgtHyperlink">
    <w:name w:val="FollowedHyperlink"/>
    <w:basedOn w:val="Standardskrifttypeiafsnit"/>
    <w:uiPriority w:val="99"/>
    <w:semiHidden/>
    <w:unhideWhenUsed/>
    <w:rsid w:val="00B102F4"/>
    <w:rPr>
      <w:color w:val="800080"/>
      <w:u w:val="single"/>
    </w:rPr>
  </w:style>
  <w:style w:type="paragraph" w:styleId="NormalWeb">
    <w:name w:val="Normal (Web)"/>
    <w:basedOn w:val="Normal"/>
    <w:uiPriority w:val="99"/>
    <w:semiHidden/>
    <w:unhideWhenUsed/>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oc-cookiecheck-enabler">
    <w:name w:val="moc-cookiecheck-enabler"/>
    <w:basedOn w:val="Normal"/>
    <w:rsid w:val="00B102F4"/>
    <w:pPr>
      <w:spacing w:after="0" w:line="240" w:lineRule="atLeast"/>
      <w:jc w:val="center"/>
    </w:pPr>
    <w:rPr>
      <w:rFonts w:ascii="Cambria" w:eastAsia="Times New Roman" w:hAnsi="Cambria" w:cs="Times New Roman"/>
      <w:sz w:val="20"/>
      <w:szCs w:val="20"/>
      <w:lang w:eastAsia="da-DK"/>
    </w:rPr>
  </w:style>
  <w:style w:type="paragraph" w:customStyle="1" w:styleId="moc-cookiecheck-text">
    <w:name w:val="moc-cookiecheck-text"/>
    <w:basedOn w:val="Normal"/>
    <w:rsid w:val="00B102F4"/>
    <w:pPr>
      <w:shd w:val="clear" w:color="auto" w:fill="637885"/>
      <w:spacing w:after="0" w:line="240" w:lineRule="auto"/>
    </w:pPr>
    <w:rPr>
      <w:rFonts w:ascii="Times New Roman" w:eastAsia="Times New Roman" w:hAnsi="Times New Roman" w:cs="Times New Roman"/>
      <w:vanish/>
      <w:color w:val="FFFFFF"/>
      <w:sz w:val="24"/>
      <w:szCs w:val="24"/>
      <w:lang w:eastAsia="da-DK"/>
    </w:rPr>
  </w:style>
  <w:style w:type="paragraph" w:customStyle="1" w:styleId="moc-cookie-tab">
    <w:name w:val="moc-cookie-tab"/>
    <w:basedOn w:val="Normal"/>
    <w:rsid w:val="00B102F4"/>
    <w:pPr>
      <w:pBdr>
        <w:top w:val="single" w:sz="2" w:space="2" w:color="EFEFEF"/>
        <w:left w:val="single" w:sz="6" w:space="2" w:color="B8B8B8"/>
        <w:bottom w:val="single" w:sz="6" w:space="2" w:color="B8B8B8"/>
        <w:right w:val="single" w:sz="2" w:space="2" w:color="B8B8B8"/>
      </w:pBdr>
      <w:shd w:val="clear" w:color="auto" w:fill="F5F5F5"/>
      <w:spacing w:after="150" w:line="240" w:lineRule="auto"/>
    </w:pPr>
    <w:rPr>
      <w:rFonts w:ascii="Times New Roman" w:eastAsia="Times New Roman" w:hAnsi="Times New Roman" w:cs="Times New Roman"/>
      <w:sz w:val="24"/>
      <w:szCs w:val="24"/>
      <w:lang w:eastAsia="da-DK"/>
    </w:rPr>
  </w:style>
  <w:style w:type="paragraph" w:customStyle="1" w:styleId="moc-cookiecheck-enable">
    <w:name w:val="moc-cookiecheck-enable"/>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oc-cookiecheck-disable">
    <w:name w:val="moc-cookiecheck-disable"/>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caption">
    <w:name w:val="csc-textpic-caption"/>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image">
    <w:name w:val="csc-textpic-image"/>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firstcol">
    <w:name w:val="csc-textpic-firstcol"/>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lastcol">
    <w:name w:val="csc-textpic-lastcol"/>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caption1">
    <w:name w:val="csc-textpic-caption1"/>
    <w:basedOn w:val="Normal"/>
    <w:rsid w:val="00B102F4"/>
    <w:pPr>
      <w:spacing w:before="100" w:beforeAutospacing="1" w:after="100" w:afterAutospacing="1" w:line="240" w:lineRule="auto"/>
      <w:jc w:val="center"/>
    </w:pPr>
    <w:rPr>
      <w:rFonts w:ascii="Times New Roman" w:eastAsia="Times New Roman" w:hAnsi="Times New Roman" w:cs="Times New Roman"/>
      <w:sz w:val="24"/>
      <w:szCs w:val="24"/>
      <w:lang w:eastAsia="da-DK"/>
    </w:rPr>
  </w:style>
  <w:style w:type="paragraph" w:customStyle="1" w:styleId="csc-textpic-caption2">
    <w:name w:val="csc-textpic-caption2"/>
    <w:basedOn w:val="Normal"/>
    <w:rsid w:val="00B102F4"/>
    <w:pPr>
      <w:spacing w:before="100" w:beforeAutospacing="1" w:after="100" w:afterAutospacing="1" w:line="240" w:lineRule="auto"/>
      <w:jc w:val="right"/>
    </w:pPr>
    <w:rPr>
      <w:rFonts w:ascii="Times New Roman" w:eastAsia="Times New Roman" w:hAnsi="Times New Roman" w:cs="Times New Roman"/>
      <w:sz w:val="24"/>
      <w:szCs w:val="24"/>
      <w:lang w:eastAsia="da-DK"/>
    </w:rPr>
  </w:style>
  <w:style w:type="paragraph" w:customStyle="1" w:styleId="csc-textpic-caption3">
    <w:name w:val="csc-textpic-caption3"/>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image1">
    <w:name w:val="csc-textpic-image1"/>
    <w:basedOn w:val="Normal"/>
    <w:rsid w:val="00B102F4"/>
    <w:pPr>
      <w:spacing w:before="100" w:beforeAutospacing="1" w:after="100" w:afterAutospacing="1" w:line="240" w:lineRule="auto"/>
      <w:ind w:right="150"/>
    </w:pPr>
    <w:rPr>
      <w:rFonts w:ascii="Times New Roman" w:eastAsia="Times New Roman" w:hAnsi="Times New Roman" w:cs="Times New Roman"/>
      <w:sz w:val="24"/>
      <w:szCs w:val="24"/>
      <w:lang w:eastAsia="da-DK"/>
    </w:rPr>
  </w:style>
  <w:style w:type="paragraph" w:customStyle="1" w:styleId="csc-textpic-image2">
    <w:name w:val="csc-textpic-image2"/>
    <w:basedOn w:val="Normal"/>
    <w:rsid w:val="00B102F4"/>
    <w:pPr>
      <w:spacing w:before="100" w:beforeAutospacing="1" w:after="100" w:afterAutospacing="1" w:line="240" w:lineRule="auto"/>
      <w:ind w:right="150"/>
    </w:pPr>
    <w:rPr>
      <w:rFonts w:ascii="Times New Roman" w:eastAsia="Times New Roman" w:hAnsi="Times New Roman" w:cs="Times New Roman"/>
      <w:sz w:val="24"/>
      <w:szCs w:val="24"/>
      <w:lang w:eastAsia="da-DK"/>
    </w:rPr>
  </w:style>
  <w:style w:type="paragraph" w:customStyle="1" w:styleId="csc-textpic-image3">
    <w:name w:val="csc-textpic-image3"/>
    <w:basedOn w:val="Normal"/>
    <w:rsid w:val="00B102F4"/>
    <w:pPr>
      <w:spacing w:before="100" w:beforeAutospacing="1" w:after="100" w:afterAutospacing="1" w:line="240" w:lineRule="auto"/>
      <w:ind w:right="150"/>
    </w:pPr>
    <w:rPr>
      <w:rFonts w:ascii="Times New Roman" w:eastAsia="Times New Roman" w:hAnsi="Times New Roman" w:cs="Times New Roman"/>
      <w:sz w:val="24"/>
      <w:szCs w:val="24"/>
      <w:lang w:eastAsia="da-DK"/>
    </w:rPr>
  </w:style>
  <w:style w:type="paragraph" w:customStyle="1" w:styleId="csc-textpic-image4">
    <w:name w:val="csc-textpic-image4"/>
    <w:basedOn w:val="Normal"/>
    <w:rsid w:val="00B102F4"/>
    <w:pPr>
      <w:spacing w:before="100" w:beforeAutospacing="1" w:after="100" w:afterAutospacing="1" w:line="240" w:lineRule="auto"/>
      <w:ind w:left="150"/>
    </w:pPr>
    <w:rPr>
      <w:rFonts w:ascii="Times New Roman" w:eastAsia="Times New Roman" w:hAnsi="Times New Roman" w:cs="Times New Roman"/>
      <w:sz w:val="24"/>
      <w:szCs w:val="24"/>
      <w:lang w:eastAsia="da-DK"/>
    </w:rPr>
  </w:style>
  <w:style w:type="paragraph" w:customStyle="1" w:styleId="csc-textpic-image5">
    <w:name w:val="csc-textpic-image5"/>
    <w:basedOn w:val="Normal"/>
    <w:rsid w:val="00B102F4"/>
    <w:pPr>
      <w:spacing w:before="100" w:beforeAutospacing="1" w:after="100" w:afterAutospacing="1" w:line="240" w:lineRule="auto"/>
      <w:ind w:left="150"/>
    </w:pPr>
    <w:rPr>
      <w:rFonts w:ascii="Times New Roman" w:eastAsia="Times New Roman" w:hAnsi="Times New Roman" w:cs="Times New Roman"/>
      <w:sz w:val="24"/>
      <w:szCs w:val="24"/>
      <w:lang w:eastAsia="da-DK"/>
    </w:rPr>
  </w:style>
  <w:style w:type="paragraph" w:customStyle="1" w:styleId="csc-textpic-image6">
    <w:name w:val="csc-textpic-image6"/>
    <w:basedOn w:val="Normal"/>
    <w:rsid w:val="00B102F4"/>
    <w:pPr>
      <w:spacing w:before="100" w:beforeAutospacing="1" w:after="100" w:afterAutospacing="1" w:line="240" w:lineRule="auto"/>
      <w:ind w:left="150"/>
    </w:pPr>
    <w:rPr>
      <w:rFonts w:ascii="Times New Roman" w:eastAsia="Times New Roman" w:hAnsi="Times New Roman" w:cs="Times New Roman"/>
      <w:sz w:val="24"/>
      <w:szCs w:val="24"/>
      <w:lang w:eastAsia="da-DK"/>
    </w:rPr>
  </w:style>
  <w:style w:type="paragraph" w:customStyle="1" w:styleId="csc-textpic-image7">
    <w:name w:val="csc-textpic-image7"/>
    <w:basedOn w:val="Normal"/>
    <w:rsid w:val="00B102F4"/>
    <w:pPr>
      <w:spacing w:before="100" w:beforeAutospacing="1" w:after="100" w:afterAutospacing="1" w:line="240" w:lineRule="auto"/>
      <w:ind w:left="150"/>
    </w:pPr>
    <w:rPr>
      <w:rFonts w:ascii="Times New Roman" w:eastAsia="Times New Roman" w:hAnsi="Times New Roman" w:cs="Times New Roman"/>
      <w:sz w:val="24"/>
      <w:szCs w:val="24"/>
      <w:lang w:eastAsia="da-DK"/>
    </w:rPr>
  </w:style>
  <w:style w:type="paragraph" w:customStyle="1" w:styleId="csc-textpic-caption4">
    <w:name w:val="csc-textpic-caption4"/>
    <w:basedOn w:val="Normal"/>
    <w:rsid w:val="00B102F4"/>
    <w:pPr>
      <w:spacing w:after="0" w:line="240" w:lineRule="auto"/>
    </w:pPr>
    <w:rPr>
      <w:rFonts w:ascii="Times New Roman" w:eastAsia="Times New Roman" w:hAnsi="Times New Roman" w:cs="Times New Roman"/>
      <w:sz w:val="24"/>
      <w:szCs w:val="24"/>
      <w:lang w:eastAsia="da-DK"/>
    </w:rPr>
  </w:style>
  <w:style w:type="paragraph" w:customStyle="1" w:styleId="csc-textpic-image8">
    <w:name w:val="csc-textpic-image8"/>
    <w:basedOn w:val="Normal"/>
    <w:rsid w:val="00B102F4"/>
    <w:pPr>
      <w:spacing w:before="100" w:beforeAutospacing="1" w:after="75" w:line="240" w:lineRule="auto"/>
    </w:pPr>
    <w:rPr>
      <w:rFonts w:ascii="Times New Roman" w:eastAsia="Times New Roman" w:hAnsi="Times New Roman" w:cs="Times New Roman"/>
      <w:sz w:val="24"/>
      <w:szCs w:val="24"/>
      <w:lang w:eastAsia="da-DK"/>
    </w:rPr>
  </w:style>
  <w:style w:type="paragraph" w:customStyle="1" w:styleId="csc-textpic-firstcol1">
    <w:name w:val="csc-textpic-firstcol1"/>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lastcol1">
    <w:name w:val="csc-textpic-lastcol1"/>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oc-cookiecheck-enable1">
    <w:name w:val="moc-cookiecheck-enable1"/>
    <w:basedOn w:val="Normal"/>
    <w:rsid w:val="00B102F4"/>
    <w:pPr>
      <w:spacing w:before="100" w:beforeAutospacing="1" w:after="100" w:afterAutospacing="1" w:line="240" w:lineRule="auto"/>
    </w:pPr>
    <w:rPr>
      <w:rFonts w:ascii="Times New Roman" w:eastAsia="Times New Roman" w:hAnsi="Times New Roman" w:cs="Times New Roman"/>
      <w:sz w:val="24"/>
      <w:szCs w:val="24"/>
      <w:u w:val="single"/>
      <w:lang w:eastAsia="da-DK"/>
    </w:rPr>
  </w:style>
  <w:style w:type="paragraph" w:customStyle="1" w:styleId="moc-cookiecheck-disable1">
    <w:name w:val="moc-cookiecheck-disable1"/>
    <w:basedOn w:val="Normal"/>
    <w:rsid w:val="00B102F4"/>
    <w:pPr>
      <w:spacing w:before="100" w:beforeAutospacing="1" w:after="100" w:afterAutospacing="1" w:line="240" w:lineRule="auto"/>
    </w:pPr>
    <w:rPr>
      <w:rFonts w:ascii="Times New Roman" w:eastAsia="Times New Roman" w:hAnsi="Times New Roman" w:cs="Times New Roman"/>
      <w:sz w:val="24"/>
      <w:szCs w:val="24"/>
      <w:u w:val="single"/>
      <w:lang w:eastAsia="da-DK"/>
    </w:rPr>
  </w:style>
  <w:style w:type="paragraph" w:customStyle="1" w:styleId="align-right">
    <w:name w:val="align-right"/>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odytext">
    <w:name w:val="bodytext"/>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102F4"/>
    <w:rPr>
      <w:b/>
      <w:bCs/>
    </w:rPr>
  </w:style>
  <w:style w:type="character" w:styleId="Fremhv">
    <w:name w:val="Emphasis"/>
    <w:basedOn w:val="Standardskrifttypeiafsnit"/>
    <w:uiPriority w:val="20"/>
    <w:qFormat/>
    <w:rsid w:val="00B102F4"/>
    <w:rPr>
      <w:i/>
      <w:iCs/>
    </w:rPr>
  </w:style>
  <w:style w:type="paragraph" w:styleId="Markeringsbobletekst">
    <w:name w:val="Balloon Text"/>
    <w:basedOn w:val="Normal"/>
    <w:link w:val="MarkeringsbobletekstTegn"/>
    <w:uiPriority w:val="99"/>
    <w:semiHidden/>
    <w:unhideWhenUsed/>
    <w:rsid w:val="00B102F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102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B102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B102F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B102F4"/>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B102F4"/>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102F4"/>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B102F4"/>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B102F4"/>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B102F4"/>
    <w:rPr>
      <w:rFonts w:ascii="Times New Roman" w:eastAsia="Times New Roman" w:hAnsi="Times New Roman" w:cs="Times New Roman"/>
      <w:b/>
      <w:bCs/>
      <w:sz w:val="24"/>
      <w:szCs w:val="24"/>
      <w:lang w:eastAsia="da-DK"/>
    </w:rPr>
  </w:style>
  <w:style w:type="character" w:styleId="Hyperlink">
    <w:name w:val="Hyperlink"/>
    <w:basedOn w:val="Standardskrifttypeiafsnit"/>
    <w:uiPriority w:val="99"/>
    <w:semiHidden/>
    <w:unhideWhenUsed/>
    <w:rsid w:val="00B102F4"/>
    <w:rPr>
      <w:color w:val="0000FF"/>
      <w:u w:val="single"/>
    </w:rPr>
  </w:style>
  <w:style w:type="character" w:styleId="BesgtHyperlink">
    <w:name w:val="FollowedHyperlink"/>
    <w:basedOn w:val="Standardskrifttypeiafsnit"/>
    <w:uiPriority w:val="99"/>
    <w:semiHidden/>
    <w:unhideWhenUsed/>
    <w:rsid w:val="00B102F4"/>
    <w:rPr>
      <w:color w:val="800080"/>
      <w:u w:val="single"/>
    </w:rPr>
  </w:style>
  <w:style w:type="paragraph" w:styleId="NormalWeb">
    <w:name w:val="Normal (Web)"/>
    <w:basedOn w:val="Normal"/>
    <w:uiPriority w:val="99"/>
    <w:semiHidden/>
    <w:unhideWhenUsed/>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oc-cookiecheck-enabler">
    <w:name w:val="moc-cookiecheck-enabler"/>
    <w:basedOn w:val="Normal"/>
    <w:rsid w:val="00B102F4"/>
    <w:pPr>
      <w:spacing w:after="0" w:line="240" w:lineRule="atLeast"/>
      <w:jc w:val="center"/>
    </w:pPr>
    <w:rPr>
      <w:rFonts w:ascii="Cambria" w:eastAsia="Times New Roman" w:hAnsi="Cambria" w:cs="Times New Roman"/>
      <w:sz w:val="20"/>
      <w:szCs w:val="20"/>
      <w:lang w:eastAsia="da-DK"/>
    </w:rPr>
  </w:style>
  <w:style w:type="paragraph" w:customStyle="1" w:styleId="moc-cookiecheck-text">
    <w:name w:val="moc-cookiecheck-text"/>
    <w:basedOn w:val="Normal"/>
    <w:rsid w:val="00B102F4"/>
    <w:pPr>
      <w:shd w:val="clear" w:color="auto" w:fill="637885"/>
      <w:spacing w:after="0" w:line="240" w:lineRule="auto"/>
    </w:pPr>
    <w:rPr>
      <w:rFonts w:ascii="Times New Roman" w:eastAsia="Times New Roman" w:hAnsi="Times New Roman" w:cs="Times New Roman"/>
      <w:vanish/>
      <w:color w:val="FFFFFF"/>
      <w:sz w:val="24"/>
      <w:szCs w:val="24"/>
      <w:lang w:eastAsia="da-DK"/>
    </w:rPr>
  </w:style>
  <w:style w:type="paragraph" w:customStyle="1" w:styleId="moc-cookie-tab">
    <w:name w:val="moc-cookie-tab"/>
    <w:basedOn w:val="Normal"/>
    <w:rsid w:val="00B102F4"/>
    <w:pPr>
      <w:pBdr>
        <w:top w:val="single" w:sz="2" w:space="2" w:color="EFEFEF"/>
        <w:left w:val="single" w:sz="6" w:space="2" w:color="B8B8B8"/>
        <w:bottom w:val="single" w:sz="6" w:space="2" w:color="B8B8B8"/>
        <w:right w:val="single" w:sz="2" w:space="2" w:color="B8B8B8"/>
      </w:pBdr>
      <w:shd w:val="clear" w:color="auto" w:fill="F5F5F5"/>
      <w:spacing w:after="150" w:line="240" w:lineRule="auto"/>
    </w:pPr>
    <w:rPr>
      <w:rFonts w:ascii="Times New Roman" w:eastAsia="Times New Roman" w:hAnsi="Times New Roman" w:cs="Times New Roman"/>
      <w:sz w:val="24"/>
      <w:szCs w:val="24"/>
      <w:lang w:eastAsia="da-DK"/>
    </w:rPr>
  </w:style>
  <w:style w:type="paragraph" w:customStyle="1" w:styleId="moc-cookiecheck-enable">
    <w:name w:val="moc-cookiecheck-enable"/>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oc-cookiecheck-disable">
    <w:name w:val="moc-cookiecheck-disable"/>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caption">
    <w:name w:val="csc-textpic-caption"/>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image">
    <w:name w:val="csc-textpic-image"/>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firstcol">
    <w:name w:val="csc-textpic-firstcol"/>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lastcol">
    <w:name w:val="csc-textpic-lastcol"/>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caption1">
    <w:name w:val="csc-textpic-caption1"/>
    <w:basedOn w:val="Normal"/>
    <w:rsid w:val="00B102F4"/>
    <w:pPr>
      <w:spacing w:before="100" w:beforeAutospacing="1" w:after="100" w:afterAutospacing="1" w:line="240" w:lineRule="auto"/>
      <w:jc w:val="center"/>
    </w:pPr>
    <w:rPr>
      <w:rFonts w:ascii="Times New Roman" w:eastAsia="Times New Roman" w:hAnsi="Times New Roman" w:cs="Times New Roman"/>
      <w:sz w:val="24"/>
      <w:szCs w:val="24"/>
      <w:lang w:eastAsia="da-DK"/>
    </w:rPr>
  </w:style>
  <w:style w:type="paragraph" w:customStyle="1" w:styleId="csc-textpic-caption2">
    <w:name w:val="csc-textpic-caption2"/>
    <w:basedOn w:val="Normal"/>
    <w:rsid w:val="00B102F4"/>
    <w:pPr>
      <w:spacing w:before="100" w:beforeAutospacing="1" w:after="100" w:afterAutospacing="1" w:line="240" w:lineRule="auto"/>
      <w:jc w:val="right"/>
    </w:pPr>
    <w:rPr>
      <w:rFonts w:ascii="Times New Roman" w:eastAsia="Times New Roman" w:hAnsi="Times New Roman" w:cs="Times New Roman"/>
      <w:sz w:val="24"/>
      <w:szCs w:val="24"/>
      <w:lang w:eastAsia="da-DK"/>
    </w:rPr>
  </w:style>
  <w:style w:type="paragraph" w:customStyle="1" w:styleId="csc-textpic-caption3">
    <w:name w:val="csc-textpic-caption3"/>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image1">
    <w:name w:val="csc-textpic-image1"/>
    <w:basedOn w:val="Normal"/>
    <w:rsid w:val="00B102F4"/>
    <w:pPr>
      <w:spacing w:before="100" w:beforeAutospacing="1" w:after="100" w:afterAutospacing="1" w:line="240" w:lineRule="auto"/>
      <w:ind w:right="150"/>
    </w:pPr>
    <w:rPr>
      <w:rFonts w:ascii="Times New Roman" w:eastAsia="Times New Roman" w:hAnsi="Times New Roman" w:cs="Times New Roman"/>
      <w:sz w:val="24"/>
      <w:szCs w:val="24"/>
      <w:lang w:eastAsia="da-DK"/>
    </w:rPr>
  </w:style>
  <w:style w:type="paragraph" w:customStyle="1" w:styleId="csc-textpic-image2">
    <w:name w:val="csc-textpic-image2"/>
    <w:basedOn w:val="Normal"/>
    <w:rsid w:val="00B102F4"/>
    <w:pPr>
      <w:spacing w:before="100" w:beforeAutospacing="1" w:after="100" w:afterAutospacing="1" w:line="240" w:lineRule="auto"/>
      <w:ind w:right="150"/>
    </w:pPr>
    <w:rPr>
      <w:rFonts w:ascii="Times New Roman" w:eastAsia="Times New Roman" w:hAnsi="Times New Roman" w:cs="Times New Roman"/>
      <w:sz w:val="24"/>
      <w:szCs w:val="24"/>
      <w:lang w:eastAsia="da-DK"/>
    </w:rPr>
  </w:style>
  <w:style w:type="paragraph" w:customStyle="1" w:styleId="csc-textpic-image3">
    <w:name w:val="csc-textpic-image3"/>
    <w:basedOn w:val="Normal"/>
    <w:rsid w:val="00B102F4"/>
    <w:pPr>
      <w:spacing w:before="100" w:beforeAutospacing="1" w:after="100" w:afterAutospacing="1" w:line="240" w:lineRule="auto"/>
      <w:ind w:right="150"/>
    </w:pPr>
    <w:rPr>
      <w:rFonts w:ascii="Times New Roman" w:eastAsia="Times New Roman" w:hAnsi="Times New Roman" w:cs="Times New Roman"/>
      <w:sz w:val="24"/>
      <w:szCs w:val="24"/>
      <w:lang w:eastAsia="da-DK"/>
    </w:rPr>
  </w:style>
  <w:style w:type="paragraph" w:customStyle="1" w:styleId="csc-textpic-image4">
    <w:name w:val="csc-textpic-image4"/>
    <w:basedOn w:val="Normal"/>
    <w:rsid w:val="00B102F4"/>
    <w:pPr>
      <w:spacing w:before="100" w:beforeAutospacing="1" w:after="100" w:afterAutospacing="1" w:line="240" w:lineRule="auto"/>
      <w:ind w:left="150"/>
    </w:pPr>
    <w:rPr>
      <w:rFonts w:ascii="Times New Roman" w:eastAsia="Times New Roman" w:hAnsi="Times New Roman" w:cs="Times New Roman"/>
      <w:sz w:val="24"/>
      <w:szCs w:val="24"/>
      <w:lang w:eastAsia="da-DK"/>
    </w:rPr>
  </w:style>
  <w:style w:type="paragraph" w:customStyle="1" w:styleId="csc-textpic-image5">
    <w:name w:val="csc-textpic-image5"/>
    <w:basedOn w:val="Normal"/>
    <w:rsid w:val="00B102F4"/>
    <w:pPr>
      <w:spacing w:before="100" w:beforeAutospacing="1" w:after="100" w:afterAutospacing="1" w:line="240" w:lineRule="auto"/>
      <w:ind w:left="150"/>
    </w:pPr>
    <w:rPr>
      <w:rFonts w:ascii="Times New Roman" w:eastAsia="Times New Roman" w:hAnsi="Times New Roman" w:cs="Times New Roman"/>
      <w:sz w:val="24"/>
      <w:szCs w:val="24"/>
      <w:lang w:eastAsia="da-DK"/>
    </w:rPr>
  </w:style>
  <w:style w:type="paragraph" w:customStyle="1" w:styleId="csc-textpic-image6">
    <w:name w:val="csc-textpic-image6"/>
    <w:basedOn w:val="Normal"/>
    <w:rsid w:val="00B102F4"/>
    <w:pPr>
      <w:spacing w:before="100" w:beforeAutospacing="1" w:after="100" w:afterAutospacing="1" w:line="240" w:lineRule="auto"/>
      <w:ind w:left="150"/>
    </w:pPr>
    <w:rPr>
      <w:rFonts w:ascii="Times New Roman" w:eastAsia="Times New Roman" w:hAnsi="Times New Roman" w:cs="Times New Roman"/>
      <w:sz w:val="24"/>
      <w:szCs w:val="24"/>
      <w:lang w:eastAsia="da-DK"/>
    </w:rPr>
  </w:style>
  <w:style w:type="paragraph" w:customStyle="1" w:styleId="csc-textpic-image7">
    <w:name w:val="csc-textpic-image7"/>
    <w:basedOn w:val="Normal"/>
    <w:rsid w:val="00B102F4"/>
    <w:pPr>
      <w:spacing w:before="100" w:beforeAutospacing="1" w:after="100" w:afterAutospacing="1" w:line="240" w:lineRule="auto"/>
      <w:ind w:left="150"/>
    </w:pPr>
    <w:rPr>
      <w:rFonts w:ascii="Times New Roman" w:eastAsia="Times New Roman" w:hAnsi="Times New Roman" w:cs="Times New Roman"/>
      <w:sz w:val="24"/>
      <w:szCs w:val="24"/>
      <w:lang w:eastAsia="da-DK"/>
    </w:rPr>
  </w:style>
  <w:style w:type="paragraph" w:customStyle="1" w:styleId="csc-textpic-caption4">
    <w:name w:val="csc-textpic-caption4"/>
    <w:basedOn w:val="Normal"/>
    <w:rsid w:val="00B102F4"/>
    <w:pPr>
      <w:spacing w:after="0" w:line="240" w:lineRule="auto"/>
    </w:pPr>
    <w:rPr>
      <w:rFonts w:ascii="Times New Roman" w:eastAsia="Times New Roman" w:hAnsi="Times New Roman" w:cs="Times New Roman"/>
      <w:sz w:val="24"/>
      <w:szCs w:val="24"/>
      <w:lang w:eastAsia="da-DK"/>
    </w:rPr>
  </w:style>
  <w:style w:type="paragraph" w:customStyle="1" w:styleId="csc-textpic-image8">
    <w:name w:val="csc-textpic-image8"/>
    <w:basedOn w:val="Normal"/>
    <w:rsid w:val="00B102F4"/>
    <w:pPr>
      <w:spacing w:before="100" w:beforeAutospacing="1" w:after="75" w:line="240" w:lineRule="auto"/>
    </w:pPr>
    <w:rPr>
      <w:rFonts w:ascii="Times New Roman" w:eastAsia="Times New Roman" w:hAnsi="Times New Roman" w:cs="Times New Roman"/>
      <w:sz w:val="24"/>
      <w:szCs w:val="24"/>
      <w:lang w:eastAsia="da-DK"/>
    </w:rPr>
  </w:style>
  <w:style w:type="paragraph" w:customStyle="1" w:styleId="csc-textpic-firstcol1">
    <w:name w:val="csc-textpic-firstcol1"/>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textpic-lastcol1">
    <w:name w:val="csc-textpic-lastcol1"/>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oc-cookiecheck-enable1">
    <w:name w:val="moc-cookiecheck-enable1"/>
    <w:basedOn w:val="Normal"/>
    <w:rsid w:val="00B102F4"/>
    <w:pPr>
      <w:spacing w:before="100" w:beforeAutospacing="1" w:after="100" w:afterAutospacing="1" w:line="240" w:lineRule="auto"/>
    </w:pPr>
    <w:rPr>
      <w:rFonts w:ascii="Times New Roman" w:eastAsia="Times New Roman" w:hAnsi="Times New Roman" w:cs="Times New Roman"/>
      <w:sz w:val="24"/>
      <w:szCs w:val="24"/>
      <w:u w:val="single"/>
      <w:lang w:eastAsia="da-DK"/>
    </w:rPr>
  </w:style>
  <w:style w:type="paragraph" w:customStyle="1" w:styleId="moc-cookiecheck-disable1">
    <w:name w:val="moc-cookiecheck-disable1"/>
    <w:basedOn w:val="Normal"/>
    <w:rsid w:val="00B102F4"/>
    <w:pPr>
      <w:spacing w:before="100" w:beforeAutospacing="1" w:after="100" w:afterAutospacing="1" w:line="240" w:lineRule="auto"/>
    </w:pPr>
    <w:rPr>
      <w:rFonts w:ascii="Times New Roman" w:eastAsia="Times New Roman" w:hAnsi="Times New Roman" w:cs="Times New Roman"/>
      <w:sz w:val="24"/>
      <w:szCs w:val="24"/>
      <w:u w:val="single"/>
      <w:lang w:eastAsia="da-DK"/>
    </w:rPr>
  </w:style>
  <w:style w:type="paragraph" w:customStyle="1" w:styleId="align-right">
    <w:name w:val="align-right"/>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odytext">
    <w:name w:val="bodytext"/>
    <w:basedOn w:val="Normal"/>
    <w:rsid w:val="00B102F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102F4"/>
    <w:rPr>
      <w:b/>
      <w:bCs/>
    </w:rPr>
  </w:style>
  <w:style w:type="character" w:styleId="Fremhv">
    <w:name w:val="Emphasis"/>
    <w:basedOn w:val="Standardskrifttypeiafsnit"/>
    <w:uiPriority w:val="20"/>
    <w:qFormat/>
    <w:rsid w:val="00B102F4"/>
    <w:rPr>
      <w:i/>
      <w:iCs/>
    </w:rPr>
  </w:style>
  <w:style w:type="paragraph" w:styleId="Markeringsbobletekst">
    <w:name w:val="Balloon Text"/>
    <w:basedOn w:val="Normal"/>
    <w:link w:val="MarkeringsbobletekstTegn"/>
    <w:uiPriority w:val="99"/>
    <w:semiHidden/>
    <w:unhideWhenUsed/>
    <w:rsid w:val="00B102F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10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569147">
      <w:bodyDiv w:val="1"/>
      <w:marLeft w:val="0"/>
      <w:marRight w:val="0"/>
      <w:marTop w:val="0"/>
      <w:marBottom w:val="0"/>
      <w:divBdr>
        <w:top w:val="none" w:sz="0" w:space="0" w:color="auto"/>
        <w:left w:val="none" w:sz="0" w:space="0" w:color="auto"/>
        <w:bottom w:val="none" w:sz="0" w:space="0" w:color="auto"/>
        <w:right w:val="none" w:sz="0" w:space="0" w:color="auto"/>
      </w:divBdr>
      <w:divsChild>
        <w:div w:id="1675306512">
          <w:marLeft w:val="0"/>
          <w:marRight w:val="0"/>
          <w:marTop w:val="0"/>
          <w:marBottom w:val="0"/>
          <w:divBdr>
            <w:top w:val="none" w:sz="0" w:space="0" w:color="auto"/>
            <w:left w:val="none" w:sz="0" w:space="0" w:color="auto"/>
            <w:bottom w:val="none" w:sz="0" w:space="0" w:color="auto"/>
            <w:right w:val="none" w:sz="0" w:space="0" w:color="auto"/>
          </w:divBdr>
          <w:divsChild>
            <w:div w:id="1793747381">
              <w:marLeft w:val="0"/>
              <w:marRight w:val="0"/>
              <w:marTop w:val="0"/>
              <w:marBottom w:val="0"/>
              <w:divBdr>
                <w:top w:val="none" w:sz="0" w:space="0" w:color="auto"/>
                <w:left w:val="none" w:sz="0" w:space="0" w:color="auto"/>
                <w:bottom w:val="none" w:sz="0" w:space="0" w:color="auto"/>
                <w:right w:val="none" w:sz="0" w:space="0" w:color="auto"/>
              </w:divBdr>
              <w:divsChild>
                <w:div w:id="667944379">
                  <w:marLeft w:val="0"/>
                  <w:marRight w:val="0"/>
                  <w:marTop w:val="0"/>
                  <w:marBottom w:val="0"/>
                  <w:divBdr>
                    <w:top w:val="none" w:sz="0" w:space="0" w:color="auto"/>
                    <w:left w:val="none" w:sz="0" w:space="0" w:color="auto"/>
                    <w:bottom w:val="none" w:sz="0" w:space="0" w:color="auto"/>
                    <w:right w:val="none" w:sz="0" w:space="0" w:color="auto"/>
                  </w:divBdr>
                  <w:divsChild>
                    <w:div w:id="1275480117">
                      <w:marLeft w:val="0"/>
                      <w:marRight w:val="0"/>
                      <w:marTop w:val="0"/>
                      <w:marBottom w:val="0"/>
                      <w:divBdr>
                        <w:top w:val="none" w:sz="0" w:space="0" w:color="auto"/>
                        <w:left w:val="none" w:sz="0" w:space="0" w:color="auto"/>
                        <w:bottom w:val="none" w:sz="0" w:space="0" w:color="auto"/>
                        <w:right w:val="none" w:sz="0" w:space="0" w:color="auto"/>
                      </w:divBdr>
                      <w:divsChild>
                        <w:div w:id="1556966610">
                          <w:marLeft w:val="0"/>
                          <w:marRight w:val="0"/>
                          <w:marTop w:val="0"/>
                          <w:marBottom w:val="0"/>
                          <w:divBdr>
                            <w:top w:val="none" w:sz="0" w:space="0" w:color="auto"/>
                            <w:left w:val="none" w:sz="0" w:space="0" w:color="auto"/>
                            <w:bottom w:val="none" w:sz="0" w:space="0" w:color="auto"/>
                            <w:right w:val="none" w:sz="0" w:space="0" w:color="auto"/>
                          </w:divBdr>
                          <w:divsChild>
                            <w:div w:id="59132875">
                              <w:marLeft w:val="0"/>
                              <w:marRight w:val="0"/>
                              <w:marTop w:val="0"/>
                              <w:marBottom w:val="0"/>
                              <w:divBdr>
                                <w:top w:val="none" w:sz="0" w:space="0" w:color="auto"/>
                                <w:left w:val="none" w:sz="0" w:space="0" w:color="auto"/>
                                <w:bottom w:val="none" w:sz="0" w:space="0" w:color="auto"/>
                                <w:right w:val="none" w:sz="0" w:space="0" w:color="auto"/>
                              </w:divBdr>
                            </w:div>
                            <w:div w:id="1907450320">
                              <w:blockQuote w:val="1"/>
                              <w:marLeft w:val="720"/>
                              <w:marRight w:val="720"/>
                              <w:marTop w:val="0"/>
                              <w:marBottom w:val="0"/>
                              <w:divBdr>
                                <w:top w:val="none" w:sz="0" w:space="0" w:color="auto"/>
                                <w:left w:val="none" w:sz="0" w:space="0" w:color="auto"/>
                                <w:bottom w:val="none" w:sz="0" w:space="0" w:color="auto"/>
                                <w:right w:val="none" w:sz="0" w:space="0" w:color="auto"/>
                              </w:divBdr>
                              <w:divsChild>
                                <w:div w:id="1425569240">
                                  <w:blockQuote w:val="1"/>
                                  <w:marLeft w:val="720"/>
                                  <w:marRight w:val="720"/>
                                  <w:marTop w:val="0"/>
                                  <w:marBottom w:val="0"/>
                                  <w:divBdr>
                                    <w:top w:val="none" w:sz="0" w:space="0" w:color="auto"/>
                                    <w:left w:val="none" w:sz="0" w:space="0" w:color="auto"/>
                                    <w:bottom w:val="none" w:sz="0" w:space="0" w:color="auto"/>
                                    <w:right w:val="none" w:sz="0" w:space="0" w:color="auto"/>
                                  </w:divBdr>
                                </w:div>
                                <w:div w:id="2110813109">
                                  <w:blockQuote w:val="1"/>
                                  <w:marLeft w:val="720"/>
                                  <w:marRight w:val="720"/>
                                  <w:marTop w:val="0"/>
                                  <w:marBottom w:val="0"/>
                                  <w:divBdr>
                                    <w:top w:val="none" w:sz="0" w:space="0" w:color="auto"/>
                                    <w:left w:val="none" w:sz="0" w:space="0" w:color="auto"/>
                                    <w:bottom w:val="none" w:sz="0" w:space="0" w:color="auto"/>
                                    <w:right w:val="none" w:sz="0" w:space="0" w:color="auto"/>
                                  </w:divBdr>
                                </w:div>
                                <w:div w:id="374890885">
                                  <w:blockQuote w:val="1"/>
                                  <w:marLeft w:val="720"/>
                                  <w:marRight w:val="720"/>
                                  <w:marTop w:val="0"/>
                                  <w:marBottom w:val="0"/>
                                  <w:divBdr>
                                    <w:top w:val="none" w:sz="0" w:space="0" w:color="auto"/>
                                    <w:left w:val="none" w:sz="0" w:space="0" w:color="auto"/>
                                    <w:bottom w:val="none" w:sz="0" w:space="0" w:color="auto"/>
                                    <w:right w:val="none" w:sz="0" w:space="0" w:color="auto"/>
                                  </w:divBdr>
                                </w:div>
                                <w:div w:id="1326936427">
                                  <w:blockQuote w:val="1"/>
                                  <w:marLeft w:val="720"/>
                                  <w:marRight w:val="720"/>
                                  <w:marTop w:val="0"/>
                                  <w:marBottom w:val="0"/>
                                  <w:divBdr>
                                    <w:top w:val="none" w:sz="0" w:space="0" w:color="auto"/>
                                    <w:left w:val="none" w:sz="0" w:space="0" w:color="auto"/>
                                    <w:bottom w:val="none" w:sz="0" w:space="0" w:color="auto"/>
                                    <w:right w:val="none" w:sz="0" w:space="0" w:color="auto"/>
                                  </w:divBdr>
                                </w:div>
                                <w:div w:id="1068652096">
                                  <w:blockQuote w:val="1"/>
                                  <w:marLeft w:val="720"/>
                                  <w:marRight w:val="720"/>
                                  <w:marTop w:val="0"/>
                                  <w:marBottom w:val="0"/>
                                  <w:divBdr>
                                    <w:top w:val="none" w:sz="0" w:space="0" w:color="auto"/>
                                    <w:left w:val="none" w:sz="0" w:space="0" w:color="auto"/>
                                    <w:bottom w:val="none" w:sz="0" w:space="0" w:color="auto"/>
                                    <w:right w:val="none" w:sz="0" w:space="0" w:color="auto"/>
                                  </w:divBdr>
                                </w:div>
                                <w:div w:id="1764917244">
                                  <w:blockQuote w:val="1"/>
                                  <w:marLeft w:val="720"/>
                                  <w:marRight w:val="720"/>
                                  <w:marTop w:val="0"/>
                                  <w:marBottom w:val="0"/>
                                  <w:divBdr>
                                    <w:top w:val="none" w:sz="0" w:space="0" w:color="auto"/>
                                    <w:left w:val="none" w:sz="0" w:space="0" w:color="auto"/>
                                    <w:bottom w:val="none" w:sz="0" w:space="0" w:color="auto"/>
                                    <w:right w:val="none" w:sz="0" w:space="0" w:color="auto"/>
                                  </w:divBdr>
                                </w:div>
                                <w:div w:id="583026139">
                                  <w:blockQuote w:val="1"/>
                                  <w:marLeft w:val="720"/>
                                  <w:marRight w:val="720"/>
                                  <w:marTop w:val="0"/>
                                  <w:marBottom w:val="0"/>
                                  <w:divBdr>
                                    <w:top w:val="none" w:sz="0" w:space="0" w:color="auto"/>
                                    <w:left w:val="none" w:sz="0" w:space="0" w:color="auto"/>
                                    <w:bottom w:val="none" w:sz="0" w:space="0" w:color="auto"/>
                                    <w:right w:val="none" w:sz="0" w:space="0" w:color="auto"/>
                                  </w:divBdr>
                                </w:div>
                                <w:div w:id="2086877806">
                                  <w:blockQuote w:val="1"/>
                                  <w:marLeft w:val="720"/>
                                  <w:marRight w:val="720"/>
                                  <w:marTop w:val="0"/>
                                  <w:marBottom w:val="0"/>
                                  <w:divBdr>
                                    <w:top w:val="none" w:sz="0" w:space="0" w:color="auto"/>
                                    <w:left w:val="none" w:sz="0" w:space="0" w:color="auto"/>
                                    <w:bottom w:val="none" w:sz="0" w:space="0" w:color="auto"/>
                                    <w:right w:val="none" w:sz="0" w:space="0" w:color="auto"/>
                                  </w:divBdr>
                                </w:div>
                                <w:div w:id="824079948">
                                  <w:blockQuote w:val="1"/>
                                  <w:marLeft w:val="720"/>
                                  <w:marRight w:val="720"/>
                                  <w:marTop w:val="0"/>
                                  <w:marBottom w:val="0"/>
                                  <w:divBdr>
                                    <w:top w:val="none" w:sz="0" w:space="0" w:color="auto"/>
                                    <w:left w:val="none" w:sz="0" w:space="0" w:color="auto"/>
                                    <w:bottom w:val="none" w:sz="0" w:space="0" w:color="auto"/>
                                    <w:right w:val="none" w:sz="0" w:space="0" w:color="auto"/>
                                  </w:divBdr>
                                </w:div>
                                <w:div w:id="1703896623">
                                  <w:blockQuote w:val="1"/>
                                  <w:marLeft w:val="720"/>
                                  <w:marRight w:val="720"/>
                                  <w:marTop w:val="0"/>
                                  <w:marBottom w:val="0"/>
                                  <w:divBdr>
                                    <w:top w:val="none" w:sz="0" w:space="0" w:color="auto"/>
                                    <w:left w:val="none" w:sz="0" w:space="0" w:color="auto"/>
                                    <w:bottom w:val="none" w:sz="0" w:space="0" w:color="auto"/>
                                    <w:right w:val="none" w:sz="0" w:space="0" w:color="auto"/>
                                  </w:divBdr>
                                </w:div>
                                <w:div w:id="107262837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2118611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fst.dk/en/konkurrenceomraadet/decisions/decisions-2008-and-earlier/national-decisions-2006/konkurrenceraadets-moede-den-22-februar-2006/the-creation-af-ferti-supply/" TargetMode="External"/><Relationship Id="rId18" Type="http://schemas.openxmlformats.org/officeDocument/2006/relationships/hyperlink" Target="http://www.kfst.dk/en/konkurrenceomraadet/decisions/decisions-2008-and-earlier/national-decisions-2006/konkurrenceraadets-moede-den-22-februar-2006/the-creation-af-ferti-supply/" TargetMode="External"/><Relationship Id="rId26" Type="http://schemas.openxmlformats.org/officeDocument/2006/relationships/hyperlink" Target="http://www.kfst.dk/en/konkurrenceomraadet/decisions/decisions-2008-and-earlier/national-decisions-2006/konkurrenceraadets-moede-den-22-februar-2006/the-creation-af-ferti-supply/" TargetMode="External"/><Relationship Id="rId39" Type="http://schemas.openxmlformats.org/officeDocument/2006/relationships/hyperlink" Target="http://www.kfst.dk/en/konkurrenceomraadet/decisions/decisions-2008-and-earlier/national-decisions-2006/konkurrenceraadets-moede-den-22-februar-2006/the-creation-af-ferti-supply/" TargetMode="External"/><Relationship Id="rId3" Type="http://schemas.openxmlformats.org/officeDocument/2006/relationships/settings" Target="settings.xml"/><Relationship Id="rId21" Type="http://schemas.openxmlformats.org/officeDocument/2006/relationships/hyperlink" Target="http://www.kfst.dk/en/konkurrenceomraadet/decisions/decisions-2008-and-earlier/national-decisions-2006/konkurrenceraadets-moede-den-22-februar-2006/the-creation-af-ferti-supply/" TargetMode="External"/><Relationship Id="rId34" Type="http://schemas.openxmlformats.org/officeDocument/2006/relationships/hyperlink" Target="http://www.kfst.dk/en/konkurrenceomraadet/decisions/decisions-2008-and-earlier/national-decisions-2006/konkurrenceraadets-moede-den-22-februar-2006/the-creation-af-ferti-supply/" TargetMode="External"/><Relationship Id="rId42" Type="http://schemas.openxmlformats.org/officeDocument/2006/relationships/hyperlink" Target="http://www.kfst.dk/en/konkurrenceomraadet/decisions/decisions-2008-and-earlier/national-decisions-2006/konkurrenceraadets-moede-den-22-februar-2006/the-creation-af-ferti-supply/" TargetMode="External"/><Relationship Id="rId47" Type="http://schemas.openxmlformats.org/officeDocument/2006/relationships/image" Target="media/image4.gif"/><Relationship Id="rId50" Type="http://schemas.openxmlformats.org/officeDocument/2006/relationships/image" Target="media/image7.gif"/><Relationship Id="rId7" Type="http://schemas.openxmlformats.org/officeDocument/2006/relationships/hyperlink" Target="http://www.kfst.dk/en/konkurrenceomraadet/decisions/decisions-2008-and-earlier/national-decisions-2006/konkurrenceraadets-moede-den-22-februar-2006/the-creation-af-ferti-supply/" TargetMode="External"/><Relationship Id="rId12" Type="http://schemas.openxmlformats.org/officeDocument/2006/relationships/hyperlink" Target="http://www.kfst.dk/en/konkurrenceomraadet/decisions/decisions-2008-and-earlier/national-decisions-2006/konkurrenceraadets-moede-den-22-februar-2006/the-creation-af-ferti-supply/" TargetMode="External"/><Relationship Id="rId17" Type="http://schemas.openxmlformats.org/officeDocument/2006/relationships/hyperlink" Target="http://www.kfst.dk/en/konkurrenceomraadet/decisions/decisions-2008-and-earlier/national-decisions-2006/konkurrenceraadets-moede-den-22-februar-2006/the-creation-af-ferti-supply/" TargetMode="External"/><Relationship Id="rId25" Type="http://schemas.openxmlformats.org/officeDocument/2006/relationships/hyperlink" Target="http://www.kfst.dk/en/konkurrenceomraadet/decisions/decisions-2008-and-earlier/national-decisions-2006/konkurrenceraadets-moede-den-22-februar-2006/the-creation-af-ferti-supply/" TargetMode="External"/><Relationship Id="rId33" Type="http://schemas.openxmlformats.org/officeDocument/2006/relationships/hyperlink" Target="http://www.kfst.dk/en/konkurrenceomraadet/decisions/decisions-2008-and-earlier/national-decisions-2006/konkurrenceraadets-moede-den-22-februar-2006/the-creation-af-ferti-supply/" TargetMode="External"/><Relationship Id="rId38" Type="http://schemas.openxmlformats.org/officeDocument/2006/relationships/hyperlink" Target="http://www.kfst.dk/en/konkurrenceomraadet/decisions/decisions-2008-and-earlier/national-decisions-2006/konkurrenceraadets-moede-den-22-februar-2006/the-creation-af-ferti-supply/" TargetMode="External"/><Relationship Id="rId46" Type="http://schemas.openxmlformats.org/officeDocument/2006/relationships/image" Target="media/image3.gif"/><Relationship Id="rId2" Type="http://schemas.microsoft.com/office/2007/relationships/stylesWithEffects" Target="stylesWithEffects.xml"/><Relationship Id="rId16" Type="http://schemas.openxmlformats.org/officeDocument/2006/relationships/hyperlink" Target="http://www.kfst.dk/en/konkurrenceomraadet/decisions/decisions-2008-and-earlier/national-decisions-2006/konkurrenceraadets-moede-den-22-februar-2006/the-creation-af-ferti-supply/" TargetMode="External"/><Relationship Id="rId20" Type="http://schemas.openxmlformats.org/officeDocument/2006/relationships/hyperlink" Target="http://www.kfst.dk/en/konkurrenceomraadet/decisions/decisions-2008-and-earlier/national-decisions-2006/konkurrenceraadets-moede-den-22-februar-2006/the-creation-af-ferti-supply/" TargetMode="External"/><Relationship Id="rId29" Type="http://schemas.openxmlformats.org/officeDocument/2006/relationships/hyperlink" Target="http://www.kfst.dk/en/konkurrenceomraadet/decisions/decisions-2008-and-earlier/national-decisions-2006/konkurrenceraadets-moede-den-22-februar-2006/the-creation-af-ferti-supply/" TargetMode="External"/><Relationship Id="rId41" Type="http://schemas.openxmlformats.org/officeDocument/2006/relationships/hyperlink" Target="http://www.kfst.dk/en/konkurrenceomraadet/decisions/decisions-2008-and-earlier/national-decisions-2006/konkurrenceraadets-moede-den-22-februar-2006/the-creation-af-ferti-supply/" TargetMode="External"/><Relationship Id="rId1" Type="http://schemas.openxmlformats.org/officeDocument/2006/relationships/styles" Target="styles.xml"/><Relationship Id="rId6" Type="http://schemas.openxmlformats.org/officeDocument/2006/relationships/hyperlink" Target="http://www.kfst.dk/en/konkurrenceomraadet/decisions/decisions-2008-and-earlier/national-decisions-2006/konkurrenceraadets-moede-den-22-februar-2006/the-creation-af-ferti-supply/" TargetMode="External"/><Relationship Id="rId11" Type="http://schemas.openxmlformats.org/officeDocument/2006/relationships/hyperlink" Target="http://www.kfst.dk/en/konkurrenceomraadet/decisions/decisions-2008-and-earlier/national-decisions-2006/konkurrenceraadets-moede-den-22-februar-2006/the-creation-af-ferti-supply/" TargetMode="External"/><Relationship Id="rId24" Type="http://schemas.openxmlformats.org/officeDocument/2006/relationships/hyperlink" Target="http://www.kfst.dk/en/konkurrenceomraadet/decisions/decisions-2008-and-earlier/national-decisions-2006/konkurrenceraadets-moede-den-22-februar-2006/the-creation-af-ferti-supply/" TargetMode="External"/><Relationship Id="rId32" Type="http://schemas.openxmlformats.org/officeDocument/2006/relationships/hyperlink" Target="http://www.kfst.dk/en/konkurrenceomraadet/decisions/decisions-2008-and-earlier/national-decisions-2006/konkurrenceraadets-moede-den-22-februar-2006/the-creation-af-ferti-supply/" TargetMode="External"/><Relationship Id="rId37" Type="http://schemas.openxmlformats.org/officeDocument/2006/relationships/hyperlink" Target="http://www.kfst.dk/en/konkurrenceomraadet/decisions/decisions-2008-and-earlier/national-decisions-2006/konkurrenceraadets-moede-den-22-februar-2006/the-creation-af-ferti-supply/" TargetMode="External"/><Relationship Id="rId40" Type="http://schemas.openxmlformats.org/officeDocument/2006/relationships/hyperlink" Target="http://www.kfst.dk/en/konkurrenceomraadet/decisions/decisions-2008-and-earlier/national-decisions-2006/konkurrenceraadets-moede-den-22-februar-2006/the-creation-af-ferti-supply/" TargetMode="External"/><Relationship Id="rId45" Type="http://schemas.openxmlformats.org/officeDocument/2006/relationships/image" Target="media/image2.gif"/><Relationship Id="rId5" Type="http://schemas.openxmlformats.org/officeDocument/2006/relationships/hyperlink" Target="http://www.kfst.dk/en/konkurrenceomraadet/decisions/decisions-2008-and-earlier/national-decisions-2006/konkurrenceraadets-moede-den-22-februar-2006/the-creation-af-ferti-supply/" TargetMode="External"/><Relationship Id="rId15" Type="http://schemas.openxmlformats.org/officeDocument/2006/relationships/hyperlink" Target="http://www.kfst.dk/en/konkurrenceomraadet/decisions/decisions-2008-and-earlier/national-decisions-2006/konkurrenceraadets-moede-den-22-februar-2006/the-creation-af-ferti-supply/" TargetMode="External"/><Relationship Id="rId23" Type="http://schemas.openxmlformats.org/officeDocument/2006/relationships/hyperlink" Target="http://www.kfst.dk/en/konkurrenceomraadet/decisions/decisions-2008-and-earlier/national-decisions-2006/konkurrenceraadets-moede-den-22-februar-2006/the-creation-af-ferti-supply/" TargetMode="External"/><Relationship Id="rId28" Type="http://schemas.openxmlformats.org/officeDocument/2006/relationships/hyperlink" Target="http://www.kfst.dk/en/konkurrenceomraadet/decisions/decisions-2008-and-earlier/national-decisions-2006/konkurrenceraadets-moede-den-22-februar-2006/the-creation-af-ferti-supply/" TargetMode="External"/><Relationship Id="rId36" Type="http://schemas.openxmlformats.org/officeDocument/2006/relationships/hyperlink" Target="http://www.kfst.dk/en/konkurrenceomraadet/decisions/decisions-2008-and-earlier/national-decisions-2006/konkurrenceraadets-moede-den-22-februar-2006/the-creation-af-ferti-supply/" TargetMode="External"/><Relationship Id="rId49" Type="http://schemas.openxmlformats.org/officeDocument/2006/relationships/image" Target="media/image6.gif"/><Relationship Id="rId10" Type="http://schemas.openxmlformats.org/officeDocument/2006/relationships/hyperlink" Target="http://www.kfst.dk/en/konkurrenceomraadet/decisions/decisions-2008-and-earlier/national-decisions-2006/konkurrenceraadets-moede-den-22-februar-2006/the-creation-af-ferti-supply/" TargetMode="External"/><Relationship Id="rId19" Type="http://schemas.openxmlformats.org/officeDocument/2006/relationships/hyperlink" Target="http://www.kfst.dk/en/konkurrenceomraadet/decisions/decisions-2008-and-earlier/national-decisions-2006/konkurrenceraadets-moede-den-22-februar-2006/the-creation-af-ferti-supply/" TargetMode="External"/><Relationship Id="rId31" Type="http://schemas.openxmlformats.org/officeDocument/2006/relationships/hyperlink" Target="http://www.kfst.dk/en/konkurrenceomraadet/decisions/decisions-2008-and-earlier/national-decisions-2006/konkurrenceraadets-moede-den-22-februar-2006/the-creation-af-ferti-supply/" TargetMode="External"/><Relationship Id="rId44" Type="http://schemas.openxmlformats.org/officeDocument/2006/relationships/image" Target="media/image1.gi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fst.dk/en/konkurrenceomraadet/decisions/decisions-2008-and-earlier/national-decisions-2006/konkurrenceraadets-moede-den-22-februar-2006/the-creation-af-ferti-supply/" TargetMode="External"/><Relationship Id="rId14" Type="http://schemas.openxmlformats.org/officeDocument/2006/relationships/hyperlink" Target="http://www.kfst.dk/en/konkurrenceomraadet/decisions/decisions-2008-and-earlier/national-decisions-2006/konkurrenceraadets-moede-den-22-februar-2006/the-creation-af-ferti-supply/" TargetMode="External"/><Relationship Id="rId22" Type="http://schemas.openxmlformats.org/officeDocument/2006/relationships/hyperlink" Target="http://www.kfst.dk/en/konkurrenceomraadet/decisions/decisions-2008-and-earlier/national-decisions-2006/konkurrenceraadets-moede-den-22-februar-2006/the-creation-af-ferti-supply/" TargetMode="External"/><Relationship Id="rId27" Type="http://schemas.openxmlformats.org/officeDocument/2006/relationships/hyperlink" Target="http://www.kfst.dk/en/konkurrenceomraadet/decisions/decisions-2008-and-earlier/national-decisions-2006/konkurrenceraadets-moede-den-22-februar-2006/the-creation-af-ferti-supply/" TargetMode="External"/><Relationship Id="rId30" Type="http://schemas.openxmlformats.org/officeDocument/2006/relationships/hyperlink" Target="http://www.kfst.dk/en/konkurrenceomraadet/decisions/decisions-2008-and-earlier/national-decisions-2006/konkurrenceraadets-moede-den-22-februar-2006/the-creation-af-ferti-supply/" TargetMode="External"/><Relationship Id="rId35" Type="http://schemas.openxmlformats.org/officeDocument/2006/relationships/hyperlink" Target="http://www.kfst.dk/en/konkurrenceomraadet/decisions/decisions-2008-and-earlier/national-decisions-2006/konkurrenceraadets-moede-den-22-februar-2006/the-creation-af-ferti-supply/" TargetMode="External"/><Relationship Id="rId43" Type="http://schemas.openxmlformats.org/officeDocument/2006/relationships/hyperlink" Target="http://www.kfst.dk/en/konkurrenceomraadet/decisions/decisions-2008-and-earlier/national-decisions-2006/konkurrenceraadets-moede-den-22-februar-2006/the-creation-af-ferti-supply/" TargetMode="External"/><Relationship Id="rId48" Type="http://schemas.openxmlformats.org/officeDocument/2006/relationships/image" Target="media/image5.gif"/><Relationship Id="rId8" Type="http://schemas.openxmlformats.org/officeDocument/2006/relationships/hyperlink" Target="http://www.kfst.dk/en/konkurrenceomraadet/decisions/decisions-2008-and-earlier/national-decisions-2006/konkurrenceraadets-moede-den-22-februar-2006/the-creation-af-ferti-supply/" TargetMode="External"/><Relationship Id="rId51"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19268</Words>
  <Characters>117539</Characters>
  <Application>Microsoft Office Word</Application>
  <DocSecurity>0</DocSecurity>
  <Lines>979</Lines>
  <Paragraphs>273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136534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Irgang Hansen (KFST)</dc:creator>
  <cp:keywords/>
  <dc:description/>
  <cp:lastModifiedBy>Dagmar Irgang Hansen (KFST)</cp:lastModifiedBy>
  <cp:revision>1</cp:revision>
  <dcterms:created xsi:type="dcterms:W3CDTF">2013-07-19T11:01:00Z</dcterms:created>
  <dcterms:modified xsi:type="dcterms:W3CDTF">2013-07-19T11:02:00Z</dcterms:modified>
</cp:coreProperties>
</file>